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Change Tax Withholding in Workday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world map highlights the UK and France, with a note explaining that the government assigns most tax details for workers in these countries.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logo on a blue background, indicating the end of the session.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blue screen stating that if a worker has no tax elections when payroll calculates, Workday uses the defaults set by the government of that country as of the payment date.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 how tax elections are managed by country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world map highlights the U.S. and Canada, with a note explaining that workers in these countries can manage withholding elections through the self-service Withholding Elections page.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in a Workday shirt summarizes the session, with a blurred office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Audit worker tax elections with reports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interface showing the "Add Worker US Tax Elections" dialog with the Worker, Effective Date, and Company fields filled in.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screen titled "Workday Reports" showing the bullet "View Workers with Missing US Tax Elections."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Access a worker's tax elections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interface showing a worker profile, the Actions button, the Payroll menu, and the "View US Tax Elections" option highlighted.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Add US tax elections for a worker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screen titled "Workday Reports" showing two bullets: "View Workers with Missing US Tax Elections" and "Copy Tax Elections for Workers."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Enter federal, state, and local tax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screen titled "Workday Reports" showing three bullets: "View Workers with Missing US Tax Elections," "Copy Tax Elections for Workers," and "Workers by Employee / Contingent Worker Type."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Workday "Add Worker US Tax Elections" screen showing the Federal, State, and Local tabs, with a grid for entering detailed tax election information.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Federal tax election grid showing a completed row with Effective Date, Marital Status, and other tax details.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View a worker's tax elections from the pay profile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Workday worker pay profile with the "Tax Elections" tab highlighted, showing federal and state tax election details.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Workday branding, prompts to subscribe, check out playlists, and follow on social media.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stands in front of a blurred office background. On the right, a graphic displays a checkmark icon with the words "Company" and "Pay Group."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