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Process a Goods Receipt in SAP Using MIGO</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1</w:t>
      </w:r>
    </w:p>
    <w:p>
      <w:pPr>
        <w:pStyle w:val="ListBullet2"/>
      </w:pP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p>
    <w:p>
      <w:pPr>
        <w:pStyle w:val="ListBullet2"/>
      </w:pP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p>
    <w:p>
      <w:pPr>
        <w:pStyle w:val="Heading1"/>
        <w:keepNext/>
        <w:keepLines/>
        <w:outlineLvl w:val="0"/>
      </w:pPr>
      <w:r>
        <w:rPr>
          <w:b/>
          <w:color w:val="404040"/>
          <w:sz w:val="32"/>
          <w:rFonts w:ascii="Inter" w:hAnsi="Inter" w:eastAsia="Noto Sans CJK JP" w:cs="Noto Sans CJK JP"/>
        </w:rPr>
        <w:t>Understanding the goods receipt process</w:t>
      </w:r>
    </w:p>
    <w:p>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1</w:t>
      </w:r>
    </w:p>
    <w:p>
      <w:pPr>
        <w:pStyle w:val="ListBullet2"/>
      </w:pP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p>
    <w:p>
      <w:pPr>
        <w:pStyle w:val="ListBullet2"/>
      </w:pP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s</w:t>
      </w:r>
    </w:p>
    <w:p>
      <w:pPr>
        <w:pStyle w:val="ListBullet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p>
    <w:p>
      <w:pPr>
        <w:keepNext/>
        <w:keepLines/>
        <w:jc w:val="center"/>
      </w:pPr>
      <w:r>
        <w:drawing>
          <wp:inline xmlns:a="http://schemas.openxmlformats.org/drawingml/2006/main" xmlns:pic="http://schemas.openxmlformats.org/drawingml/2006/picture">
            <wp:extent cx="5328000" cy="242107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421075"/>
                    </a:xfrm>
                    <a:prstGeom prst="rect"/>
                  </pic:spPr>
                </pic:pic>
              </a:graphicData>
            </a:graphic>
          </wp:inline>
        </w:drawing>
      </w:r>
    </w:p>
    <w:p>
      <w:pPr>
        <w:pStyle w:val="Caption"/>
        <w:jc w:val="center"/>
      </w:pPr>
      <w:r>
        <w:rPr>
          <w:b/>
          <w:color w:val="404040"/>
        </w:rPr>
        <w:t>SAP Easy Access screen with a Notepad displaying "MY SUPPORT SOLUTIONS", "Goods Receipt in SAP," and the example PO details: 1. PO – 4500017231, 2. Vendor – ABC Vendor, 3. Material – 100-100, 4. Quantity – 10 pcs, 5. Plant – 1000. The SAP Easy Access menu is visible on the left, with folders for Office, Logistics, Accounting, and others.</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Open the SAP Easy Access screen</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421075"/>
                    </a:xfrm>
                    <a:prstGeom prst="rect"/>
                  </pic:spPr>
                </pic:pic>
              </a:graphicData>
            </a:graphic>
          </wp:inline>
        </w:drawing>
      </w:r>
    </w:p>
    <w:p>
      <w:pPr>
        <w:pStyle w:val="Caption"/>
        <w:jc w:val="center"/>
      </w:pPr>
      <w:r>
        <w:rPr>
          <w:b/>
          <w:color w:val="404040"/>
        </w:rPr>
        <w:t>SAP Easy Access screen with a Notepad showing the purchase order details for reference.</w:t>
      </w:r>
    </w:p>
    <w:p>
      <w:pPr>
        <w:pStyle w:val="Heading1"/>
        <w:keepNext/>
        <w:keepLines/>
        <w:outlineLvl w:val="0"/>
      </w:pPr>
      <w:r>
        <w:rPr>
          <w:b/>
          <w:color w:val="404040"/>
          <w:sz w:val="32"/>
          <w:rFonts w:ascii="Inter" w:hAnsi="Inter" w:eastAsia="Noto Sans CJK JP" w:cs="Noto Sans CJK JP"/>
        </w:rPr>
        <w:t>Step 2: Start the goods receipt transaction</w:t>
      </w:r>
    </w:p>
    <w:p>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3: Select goods receipt against the purchase order</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p>
    <w:p>
      <w:pPr>
        <w:pStyle w:val="ListBullet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7</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421075"/>
                    </a:xfrm>
                    <a:prstGeom prst="rect"/>
                  </pic:spPr>
                </pic:pic>
              </a:graphicData>
            </a:graphic>
          </wp:inline>
        </w:drawing>
      </w:r>
    </w:p>
    <w:p>
      <w:pPr>
        <w:pStyle w:val="Caption"/>
        <w:jc w:val="center"/>
      </w:pPr>
      <w:r>
        <w:rPr>
          <w:b/>
          <w:color w:val="404040"/>
        </w:rPr>
        <w:t>MIGO screen with the Goods Receipt action selected, Purchase Order set as the reference, PO number 4500017231 entered, and Movement Type 101 configured.</w:t>
      </w:r>
    </w:p>
    <w:p>
      <w:pPr>
        <w:pStyle w:val="Heading1"/>
        <w:keepNext/>
        <w:keepLines/>
        <w:outlineLvl w:val="0"/>
      </w:pPr>
      <w:r>
        <w:rPr>
          <w:b/>
          <w:color w:val="404040"/>
          <w:sz w:val="32"/>
          <w:rFonts w:ascii="Inter" w:hAnsi="Inter" w:eastAsia="Noto Sans CJK JP" w:cs="Noto Sans CJK JP"/>
        </w:rPr>
        <w:t>Step 4: Review the displayed purchase order contents</w:t>
      </w:r>
    </w:p>
    <w:p>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ä</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0</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1</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9</w:t>
      </w:r>
    </w:p>
    <w:p>
      <w:pPr>
        <w:pStyle w:val="ListBullet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1</w:t>
      </w:r>
      <w:r>
        <w:rPr>
          <w:color w:val="404040"/>
          <w:sz w:val="24"/>
          <w:rFonts w:ascii="Inter" w:hAnsi="Inter" w:eastAsia="Noto Sans CJK JP" w:cs="Noto Sans CJK JP"/>
        </w:rPr>
        <w:t>9</w:t>
      </w:r>
    </w:p>
    <w:p>
      <w:pPr>
        <w:keepNext/>
        <w:keepLines/>
        <w:jc w:val="center"/>
      </w:pPr>
      <w:r>
        <w:drawing>
          <wp:inline xmlns:a="http://schemas.openxmlformats.org/drawingml/2006/main" xmlns:pic="http://schemas.openxmlformats.org/drawingml/2006/picture">
            <wp:extent cx="5328000" cy="242107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421075"/>
                    </a:xfrm>
                    <a:prstGeom prst="rect"/>
                  </pic:spPr>
                </pic:pic>
              </a:graphicData>
            </a:graphic>
          </wp:inline>
        </w:drawing>
      </w:r>
    </w:p>
    <w:p>
      <w:pPr>
        <w:pStyle w:val="Caption"/>
        <w:jc w:val="center"/>
      </w:pPr>
      <w:r>
        <w:rPr>
          <w:b/>
          <w:color w:val="404040"/>
        </w:rPr>
        <w:t>MIGO screen showing purchase order details: Material 100-100, Quantity 10, Vendor C.E.B. BERLIN, Profit Center 1010, Stock Type Unrestricted, Movement Type 101, and Document/Posting Date 24.03.2019.</w:t>
      </w:r>
    </w:p>
    <w:p>
      <w:pPr>
        <w:pStyle w:val="Heading1"/>
        <w:keepNext/>
        <w:keepLines/>
        <w:outlineLvl w:val="0"/>
      </w:pPr>
      <w:r>
        <w:rPr>
          <w:b/>
          <w:color w:val="404040"/>
          <w:sz w:val="32"/>
          <w:rFonts w:ascii="Inter" w:hAnsi="Inter" w:eastAsia="Noto Sans CJK JP" w:cs="Noto Sans CJK JP"/>
        </w:rPr>
        <w:t>Step 5: Enter delivery note and shipment references</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B</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421075"/>
                    </a:xfrm>
                    <a:prstGeom prst="rect"/>
                  </pic:spPr>
                </pic:pic>
              </a:graphicData>
            </a:graphic>
          </wp:inline>
        </w:drawing>
      </w:r>
    </w:p>
    <w:p>
      <w:pPr>
        <w:pStyle w:val="Caption"/>
        <w:jc w:val="center"/>
      </w:pPr>
      <w:r>
        <w:rPr>
          <w:b/>
          <w:color w:val="404040"/>
        </w:rPr>
        <w:t>SAP MIGO screen showing the Delivery Note, Bill of Lading, and GR/GI Slip No. fields, along with vendor details.</w:t>
      </w:r>
    </w:p>
    <w:p>
      <w:pPr>
        <w:pStyle w:val="Heading1"/>
        <w:keepNext/>
        <w:keepLines/>
        <w:outlineLvl w:val="0"/>
      </w:pPr>
      <w:r>
        <w:rPr>
          <w:b/>
          <w:color w:val="404040"/>
          <w:sz w:val="32"/>
          <w:rFonts w:ascii="Inter" w:hAnsi="Inter" w:eastAsia="Noto Sans CJK JP" w:cs="Noto Sans CJK JP"/>
        </w:rPr>
        <w:t>Step 6: Review and adjust the received quantity</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9</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421075"/>
                    </a:xfrm>
                    <a:prstGeom prst="rect"/>
                  </pic:spPr>
                </pic:pic>
              </a:graphicData>
            </a:graphic>
          </wp:inline>
        </w:drawing>
      </w:r>
    </w:p>
    <w:p>
      <w:pPr>
        <w:pStyle w:val="Caption"/>
        <w:jc w:val="center"/>
      </w:pPr>
      <w:r>
        <w:rPr>
          <w:b/>
          <w:color w:val="404040"/>
        </w:rPr>
        <w:t>SAP MIGO screen with the Quantity tab open, showing the Qty in Unit of Entry and Qty in SKU fields.</w:t>
      </w:r>
    </w:p>
    <w:p>
      <w:pPr>
        <w:pStyle w:val="Heading1"/>
        <w:keepNext/>
        <w:keepLines/>
        <w:outlineLvl w:val="0"/>
      </w:pPr>
      <w:r>
        <w:rPr>
          <w:b/>
          <w:color w:val="404040"/>
          <w:sz w:val="32"/>
          <w:rFonts w:ascii="Inter" w:hAnsi="Inter" w:eastAsia="Noto Sans CJK JP" w:cs="Noto Sans CJK JP"/>
        </w:rPr>
        <w:t>Step 7: Specify the storage location and goods recipient</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1</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3</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421075"/>
                    </a:xfrm>
                    <a:prstGeom prst="rect"/>
                  </pic:spPr>
                </pic:pic>
              </a:graphicData>
            </a:graphic>
          </wp:inline>
        </w:drawing>
      </w:r>
    </w:p>
    <w:p>
      <w:pPr>
        <w:pStyle w:val="Caption"/>
        <w:jc w:val="center"/>
      </w:pPr>
      <w:r>
        <w:rPr>
          <w:b/>
          <w:color w:val="404040"/>
        </w:rPr>
        <w:t>SAP MIGO screen with the Where tab open, showing Storage Location (S10), Goods recipient (S30), Plant (Werk Hamburg, 1000), Movement Type (101), and Stock type (Unrestricted use).</w:t>
      </w:r>
    </w:p>
    <w:p>
      <w:pPr>
        <w:pStyle w:val="Heading1"/>
        <w:keepNext/>
        <w:keepLines/>
        <w:outlineLvl w:val="0"/>
      </w:pPr>
      <w:r>
        <w:rPr>
          <w:b/>
          <w:color w:val="404040"/>
          <w:sz w:val="32"/>
          <w:rFonts w:ascii="Inter" w:hAnsi="Inter" w:eastAsia="Noto Sans CJK JP" w:cs="Noto Sans CJK JP"/>
        </w:rPr>
        <w:t>Step 8: Verify the storage location entry</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3</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421075"/>
                    </a:xfrm>
                    <a:prstGeom prst="rect"/>
                  </pic:spPr>
                </pic:pic>
              </a:graphicData>
            </a:graphic>
          </wp:inline>
        </w:drawing>
      </w:r>
    </w:p>
    <w:p>
      <w:pPr>
        <w:pStyle w:val="Caption"/>
        <w:jc w:val="center"/>
      </w:pPr>
      <w:r>
        <w:rPr>
          <w:b/>
          <w:color w:val="404040"/>
        </w:rPr>
        <w:t>SAP MIGO "Where" tab showing the Storage Location field set to S30, an empty Goods recipient field, Plant set to Werk Hamburg (1000), Movement Type 101, and Stock type Unrestricted use.</w:t>
      </w:r>
    </w:p>
    <w:p>
      <w:pPr>
        <w:pStyle w:val="Heading1"/>
        <w:keepNext/>
        <w:keepLines/>
        <w:outlineLvl w:val="0"/>
      </w:pPr>
      <w:r>
        <w:rPr>
          <w:b/>
          <w:color w:val="404040"/>
          <w:sz w:val="32"/>
          <w:rFonts w:ascii="Inter" w:hAnsi="Inter" w:eastAsia="Noto Sans CJK JP" w:cs="Noto Sans CJK JP"/>
        </w:rPr>
        <w:t>Step 9: Enter the goods recipient name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421075"/>
                    </a:xfrm>
                    <a:prstGeom prst="rect"/>
                  </pic:spPr>
                </pic:pic>
              </a:graphicData>
            </a:graphic>
          </wp:inline>
        </w:drawing>
      </w:r>
    </w:p>
    <w:p>
      <w:pPr>
        <w:pStyle w:val="Caption"/>
        <w:jc w:val="center"/>
      </w:pPr>
      <w:r>
        <w:rPr>
          <w:b/>
          <w:color w:val="404040"/>
        </w:rPr>
        <w:t>SAP screen showing the Goods recipient field highlighted in the Where tab, along with the Plant, Storage Location, and Stock type fields.</w:t>
      </w:r>
    </w:p>
    <w:p>
      <w:pPr>
        <w:pStyle w:val="Heading1"/>
        <w:keepNext/>
        <w:keepLines/>
        <w:outlineLvl w:val="0"/>
      </w:pPr>
      <w:r>
        <w:rPr>
          <w:b/>
          <w:color w:val="404040"/>
          <w:sz w:val="32"/>
          <w:rFonts w:ascii="Inter" w:hAnsi="Inter" w:eastAsia="Noto Sans CJK JP" w:cs="Noto Sans CJK JP"/>
        </w:rPr>
        <w:t>Step 10: Verify and set the stock type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p>
    <w:p>
      <w:pPr>
        <w:pStyle w:val="ListBullet2"/>
      </w:pP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421075"/>
                    </a:xfrm>
                    <a:prstGeom prst="rect"/>
                  </pic:spPr>
                </pic:pic>
              </a:graphicData>
            </a:graphic>
          </wp:inline>
        </w:drawing>
      </w:r>
    </w:p>
    <w:p>
      <w:pPr>
        <w:pStyle w:val="Caption"/>
        <w:jc w:val="center"/>
      </w:pPr>
      <w:r>
        <w:rPr>
          <w:b/>
          <w:color w:val="404040"/>
        </w:rPr>
        <w:t>Dropdown menu for the Stock type field showing the options: Unrestricted use, Quality inspection, and Blocked stock.</w:t>
      </w:r>
    </w:p>
    <w:p>
      <w:pPr>
        <w:pStyle w:val="Heading1"/>
        <w:keepNext/>
        <w:keepLines/>
        <w:outlineLvl w:val="0"/>
      </w:pPr>
      <w:r>
        <w:rPr>
          <w:b/>
          <w:color w:val="404040"/>
          <w:sz w:val="32"/>
          <w:rFonts w:ascii="Inter" w:hAnsi="Inter" w:eastAsia="Noto Sans CJK JP" w:cs="Noto Sans CJK JP"/>
        </w:rPr>
        <w:t>Step 11: Set a valid storage location</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3</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421075"/>
                    </a:xfrm>
                    <a:prstGeom prst="rect"/>
                  </pic:spPr>
                </pic:pic>
              </a:graphicData>
            </a:graphic>
          </wp:inline>
        </w:drawing>
      </w:r>
    </w:p>
    <w:p>
      <w:pPr>
        <w:pStyle w:val="Caption"/>
        <w:jc w:val="center"/>
      </w:pPr>
      <w:r>
        <w:rPr>
          <w:b/>
          <w:color w:val="404040"/>
        </w:rPr>
        <w:t>Storage Location field being edited, with a dropdown showing options S30 and 0001, and a warning message about an invalid storage location.</w:t>
      </w:r>
    </w:p>
    <w:p>
      <w:pPr>
        <w:pStyle w:val="Heading1"/>
        <w:keepNext/>
        <w:keepLines/>
        <w:outlineLvl w:val="0"/>
      </w:pPr>
      <w:r>
        <w:rPr>
          <w:b/>
          <w:color w:val="404040"/>
          <w:sz w:val="32"/>
          <w:rFonts w:ascii="Inter" w:hAnsi="Inter" w:eastAsia="Noto Sans CJK JP" w:cs="Noto Sans CJK JP"/>
        </w:rPr>
        <w:t>Step 12: Review and adjust the goods receipt quantity</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421075"/>
                    </a:xfrm>
                    <a:prstGeom prst="rect"/>
                  </pic:spPr>
                </pic:pic>
              </a:graphicData>
            </a:graphic>
          </wp:inline>
        </w:drawing>
      </w:r>
    </w:p>
    <w:p>
      <w:pPr>
        <w:pStyle w:val="Caption"/>
        <w:jc w:val="center"/>
      </w:pPr>
      <w:r>
        <w:rPr>
          <w:b/>
          <w:color w:val="404040"/>
        </w:rPr>
        <w:t>Quantity tab showing Qty in Unit of Entry and Qty in SKU both set to 9 PC, with the rest of the SAP interface visible.</w:t>
      </w:r>
    </w:p>
    <w:p>
      <w:pPr>
        <w:pStyle w:val="Heading1"/>
        <w:keepNext/>
        <w:keepLines/>
        <w:outlineLvl w:val="0"/>
      </w:pPr>
      <w:r>
        <w:rPr>
          <w:b/>
          <w:color w:val="404040"/>
          <w:sz w:val="32"/>
          <w:rFonts w:ascii="Inter" w:hAnsi="Inter" w:eastAsia="Noto Sans CJK JP" w:cs="Noto Sans CJK JP"/>
        </w:rPr>
        <w:t>Step 13: Set the delivery completed indicator (if applicable)</w:t>
      </w:r>
    </w:p>
    <w:p>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14: Review the purchase order data</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4</w:t>
      </w:r>
      <w:r>
        <w:rPr>
          <w:b/>
          <w:color w:val="404040"/>
          <w:sz w:val="24"/>
          <w:rFonts w:ascii="Inter" w:hAnsi="Inter" w:eastAsia="Noto Sans CJK JP" w:cs="Noto Sans CJK JP"/>
        </w:rPr>
        <w:t>5</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7</w:t>
      </w:r>
      <w:r>
        <w:rPr>
          <w:b/>
          <w:color w:val="404040"/>
          <w:sz w:val="24"/>
          <w:rFonts w:ascii="Inter" w:hAnsi="Inter" w:eastAsia="Noto Sans CJK JP" w:cs="Noto Sans CJK JP"/>
        </w:rPr>
        <w:t>2</w:t>
      </w:r>
      <w:r>
        <w:rPr>
          <w:b/>
          <w:color w:val="404040"/>
          <w:sz w:val="24"/>
          <w:rFonts w:ascii="Inter" w:hAnsi="Inter" w:eastAsia="Noto Sans CJK JP" w:cs="Noto Sans CJK JP"/>
        </w:rPr>
        <w:t>3</w:t>
      </w:r>
      <w:r>
        <w:rPr>
          <w:b/>
          <w:color w:val="404040"/>
          <w:sz w:val="24"/>
          <w:rFonts w:ascii="Inter" w:hAnsi="Inter" w:eastAsia="Noto Sans CJK JP" w:cs="Noto Sans CJK JP"/>
        </w:rPr>
        <w:t>1</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9</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421075"/>
                    </a:xfrm>
                    <a:prstGeom prst="rect"/>
                  </pic:spPr>
                </pic:pic>
              </a:graphicData>
            </a:graphic>
          </wp:inline>
        </w:drawing>
      </w:r>
    </w:p>
    <w:p>
      <w:pPr>
        <w:pStyle w:val="Caption"/>
        <w:jc w:val="center"/>
      </w:pPr>
      <w:r>
        <w:rPr>
          <w:b/>
          <w:color w:val="404040"/>
        </w:rPr>
        <w:t>SAP screen showing the Purchase Order Data tab with PO number 4500017231, Del. Completed Ind. set to 2 Set, and quantity fields filled in.</w:t>
      </w:r>
    </w:p>
    <w:p>
      <w:pPr>
        <w:pStyle w:val="Heading1"/>
        <w:keepNext/>
        <w:keepLines/>
        <w:outlineLvl w:val="0"/>
      </w:pPr>
      <w:r>
        <w:rPr>
          <w:b/>
          <w:color w:val="404040"/>
          <w:sz w:val="32"/>
          <w:rFonts w:ascii="Inter" w:hAnsi="Inter" w:eastAsia="Noto Sans CJK JP" w:cs="Noto Sans CJK JP"/>
        </w:rPr>
        <w:t>Step 15: Confirm the item is marked OK</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16: Validate the document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421075"/>
                    </a:xfrm>
                    <a:prstGeom prst="rect"/>
                  </pic:spPr>
                </pic:pic>
              </a:graphicData>
            </a:graphic>
          </wp:inline>
        </w:drawing>
      </w:r>
    </w:p>
    <w:p>
      <w:pPr>
        <w:pStyle w:val="Caption"/>
        <w:jc w:val="center"/>
      </w:pPr>
      <w:r>
        <w:rPr>
          <w:b/>
          <w:color w:val="404040"/>
        </w:rPr>
        <w:t>SAP screen with the cursor on the Check button, the item OK flag checked, and all relevant fields filled in.</w:t>
      </w:r>
    </w:p>
    <w:p>
      <w:pPr>
        <w:pStyle w:val="Heading1"/>
        <w:keepNext/>
        <w:keepLines/>
        <w:outlineLvl w:val="0"/>
      </w:pPr>
      <w:r>
        <w:rPr>
          <w:b/>
          <w:color w:val="404040"/>
          <w:sz w:val="32"/>
          <w:rFonts w:ascii="Inter" w:hAnsi="Inter" w:eastAsia="Noto Sans CJK JP" w:cs="Noto Sans CJK JP"/>
        </w:rPr>
        <w:t>Step 17: Review system messages</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C</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421075"/>
                    </a:xfrm>
                    <a:prstGeom prst="rect"/>
                  </pic:spPr>
                </pic:pic>
              </a:graphicData>
            </a:graphic>
          </wp:inline>
        </w:drawing>
      </w:r>
    </w:p>
    <w:p>
      <w:pPr>
        <w:pStyle w:val="Caption"/>
        <w:jc w:val="center"/>
      </w:pPr>
      <w:r>
        <w:rPr>
          <w:b/>
          <w:color w:val="404040"/>
        </w:rPr>
        <w:t>Display logs window showing the messages: "Deficit of PU Ordered quantity 1 PC" and "The item will be flagged delivery completed."</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18: Post the goods receipt document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421075"/>
                    </a:xfrm>
                    <a:prstGeom prst="rect"/>
                  </pic:spPr>
                </pic:pic>
              </a:graphicData>
            </a:graphic>
          </wp:inline>
        </w:drawing>
      </w:r>
    </w:p>
    <w:p>
      <w:pPr>
        <w:pStyle w:val="Caption"/>
        <w:jc w:val="center"/>
      </w:pPr>
      <w:r>
        <w:rPr>
          <w:b/>
          <w:color w:val="404040"/>
        </w:rPr>
        <w:t>SAP screen with the cursor on the Post button, ready to finalize the goods receipt.</w:t>
      </w:r>
    </w:p>
    <w:p>
      <w:pP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19: Verify the posted goods receipt screen</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4</w:t>
      </w:r>
      <w:r>
        <w:rPr>
          <w:b/>
          <w:color w:val="404040"/>
          <w:sz w:val="24"/>
          <w:rFonts w:ascii="Inter" w:hAnsi="Inter" w:eastAsia="Noto Sans CJK JP" w:cs="Noto Sans CJK JP"/>
        </w:rPr>
        <w:t>5</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7</w:t>
      </w:r>
      <w:r>
        <w:rPr>
          <w:b/>
          <w:color w:val="404040"/>
          <w:sz w:val="24"/>
          <w:rFonts w:ascii="Inter" w:hAnsi="Inter" w:eastAsia="Noto Sans CJK JP" w:cs="Noto Sans CJK JP"/>
        </w:rPr>
        <w:t>2</w:t>
      </w:r>
      <w:r>
        <w:rPr>
          <w:b/>
          <w:color w:val="404040"/>
          <w:sz w:val="24"/>
          <w:rFonts w:ascii="Inter" w:hAnsi="Inter" w:eastAsia="Noto Sans CJK JP" w:cs="Noto Sans CJK JP"/>
        </w:rPr>
        <w:t>3</w:t>
      </w:r>
      <w:r>
        <w:rPr>
          <w:b/>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B</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ä</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9</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421075"/>
                    </a:xfrm>
                    <a:prstGeom prst="rect"/>
                  </pic:spPr>
                </pic:pic>
              </a:graphicData>
            </a:graphic>
          </wp:inline>
        </w:drawing>
      </w:r>
    </w:p>
    <w:p>
      <w:pPr>
        <w:pStyle w:val="Caption"/>
        <w:jc w:val="center"/>
      </w:pPr>
      <w:r>
        <w:rPr>
          <w:b/>
          <w:color w:val="404040"/>
        </w:rPr>
        <w:t>SAP Goods Receipt screen showing PO 4500017231, vendor C.E.B. BERLIN, item Gehäuse, quantity 9 PC, and the delivery completed indicator set.</w:t>
      </w:r>
    </w:p>
    <w:p>
      <w:pPr>
        <w:pStyle w:val="Heading1"/>
        <w:keepNext/>
        <w:keepLines/>
        <w:outlineLvl w:val="0"/>
      </w:pPr>
      <w:r>
        <w:rPr>
          <w:b/>
          <w:color w:val="404040"/>
          <w:sz w:val="32"/>
          <w:rFonts w:ascii="Inter" w:hAnsi="Inter" w:eastAsia="Noto Sans CJK JP" w:cs="Noto Sans CJK JP"/>
        </w:rPr>
        <w:t>Step 20: Access the material document</w:t>
      </w:r>
    </w:p>
    <w:p>
      <w:pP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ä</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9</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2</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21: View the associated accounting documents</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p>
    <w:p>
      <w:pPr>
        <w:pStyle w:val="ListBullet2"/>
      </w:pP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3</w:t>
      </w:r>
      <w:r>
        <w:rPr>
          <w:b/>
          <w:color w:val="404040"/>
          <w:sz w:val="24"/>
          <w:rFonts w:ascii="Inter" w:hAnsi="Inter" w:eastAsia="Noto Sans CJK JP" w:cs="Noto Sans CJK JP"/>
        </w:rPr>
        <w:t>2</w:t>
      </w:r>
      <w:r>
        <w:rPr>
          <w:b/>
          <w:color w:val="404040"/>
          <w:sz w:val="24"/>
          <w:rFonts w:ascii="Inter" w:hAnsi="Inter" w:eastAsia="Noto Sans CJK JP" w:cs="Noto Sans CJK JP"/>
        </w:rPr>
        <w:t>8</w:t>
      </w:r>
      <w:r>
        <w:rPr>
          <w:b/>
          <w:color w:val="404040"/>
          <w:sz w:val="24"/>
          <w:rFonts w:ascii="Inter" w:hAnsi="Inter" w:eastAsia="Noto Sans CJK JP" w:cs="Noto Sans CJK JP"/>
        </w:rPr>
        <w:t>0</w:t>
      </w:r>
      <w:r>
        <w:rPr>
          <w:b/>
          <w:color w:val="404040"/>
          <w:sz w:val="24"/>
          <w:rFonts w:ascii="Inter" w:hAnsi="Inter" w:eastAsia="Noto Sans CJK JP" w:cs="Noto Sans CJK JP"/>
        </w:rPr>
        <w:t>7</w:t>
      </w:r>
      <w:r>
        <w:rPr>
          <w:b/>
          <w:color w:val="404040"/>
          <w:sz w:val="24"/>
          <w:rFonts w:ascii="Inter" w:hAnsi="Inter" w:eastAsia="Noto Sans CJK JP" w:cs="Noto Sans CJK JP"/>
        </w:rPr>
        <w:t>1</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p>
    <w:p>
      <w:pPr>
        <w:pStyle w:val="ListBullet2"/>
      </w:pP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3</w:t>
      </w:r>
      <w:r>
        <w:rPr>
          <w:b/>
          <w:color w:val="404040"/>
          <w:sz w:val="24"/>
          <w:rFonts w:ascii="Inter" w:hAnsi="Inter" w:eastAsia="Noto Sans CJK JP" w:cs="Noto Sans CJK JP"/>
        </w:rPr>
        <w:t>2</w:t>
      </w:r>
      <w:r>
        <w:rPr>
          <w:b/>
          <w:color w:val="404040"/>
          <w:sz w:val="24"/>
          <w:rFonts w:ascii="Inter" w:hAnsi="Inter" w:eastAsia="Noto Sans CJK JP" w:cs="Noto Sans CJK JP"/>
        </w:rPr>
        <w:t>9</w:t>
      </w:r>
      <w:r>
        <w:rPr>
          <w:b/>
          <w:color w:val="404040"/>
          <w:sz w:val="24"/>
          <w:rFonts w:ascii="Inter" w:hAnsi="Inter" w:eastAsia="Noto Sans CJK JP" w:cs="Noto Sans CJK JP"/>
        </w:rPr>
        <w:t>8</w:t>
      </w:r>
      <w:r>
        <w:rPr>
          <w:b/>
          <w:color w:val="404040"/>
          <w:sz w:val="24"/>
          <w:rFonts w:ascii="Inter" w:hAnsi="Inter" w:eastAsia="Noto Sans CJK JP" w:cs="Noto Sans CJK JP"/>
        </w:rPr>
        <w:t>0</w:t>
      </w:r>
      <w:r>
        <w:rPr>
          <w:b/>
          <w:color w:val="404040"/>
          <w:sz w:val="24"/>
          <w:rFonts w:ascii="Inter" w:hAnsi="Inter" w:eastAsia="Noto Sans CJK JP" w:cs="Noto Sans CJK JP"/>
        </w:rPr>
        <w:t>8</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421075"/>
            <wp:docPr id="18" name="Picture 18"/>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421075"/>
                    </a:xfrm>
                    <a:prstGeom prst="rect"/>
                  </pic:spPr>
                </pic:pic>
              </a:graphicData>
            </a:graphic>
          </wp:inline>
        </w:drawing>
      </w:r>
    </w:p>
    <w:p>
      <w:pPr>
        <w:pStyle w:val="Caption"/>
        <w:jc w:val="center"/>
      </w:pPr>
      <w:r>
        <w:rPr>
          <w:b/>
          <w:color w:val="404040"/>
        </w:rPr>
        <w:t>SAP Display Material Document screen with the Documents in Accounting pop-up showing the accounting document, profit center document, and special purpose ledger.</w:t>
      </w:r>
    </w:p>
    <w:p>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