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Merge Accounts in Salesforce (Switching from Lightning to Classic)</w:t>
      </w:r>
    </w:p>
    <w:p>
      <w:pP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1: Identify duplicate accounts in Lightning Experience</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60000"/>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960000"/>
                    </a:xfrm>
                    <a:prstGeom prst="rect"/>
                  </pic:spPr>
                </pic:pic>
              </a:graphicData>
            </a:graphic>
          </wp:inline>
        </w:drawing>
      </w:r>
    </w:p>
    <w:p>
      <w:pPr>
        <w:pStyle w:val="Caption"/>
        <w:jc w:val="center"/>
      </w:pPr>
      <w:r>
        <w:rPr>
          <w:b/>
          <w:color w:val="404040"/>
        </w:rPr>
        <w:t>Salesforce Lightning Experience showing the Accounts tab with duplicate accounts "Rotive Inc" and "Rotive LLC" listed. Columns include Account Name, Account Site, Phone, and Account Owner Alias.</w:t>
      </w:r>
    </w:p>
    <w:p>
      <w:pPr>
        <w:pStyle w:val="Heading1"/>
        <w:keepNext/>
        <w:keepLines/>
        <w:outlineLvl w:val="0"/>
      </w:pPr>
      <w:r>
        <w:rPr>
          <w:b/>
          <w:color w:val="404040"/>
          <w:sz w:val="32"/>
          <w:rFonts w:ascii="Inter" w:hAnsi="Inter" w:eastAsia="Noto Sans CJK JP" w:cs="Noto Sans CJK JP"/>
        </w:rPr>
        <w:t>Step 2: Switch to Salesforce Classic</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w</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c</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60000"/>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960000"/>
                    </a:xfrm>
                    <a:prstGeom prst="rect"/>
                  </pic:spPr>
                </pic:pic>
              </a:graphicData>
            </a:graphic>
          </wp:inline>
        </w:drawing>
      </w:r>
    </w:p>
    <w:p>
      <w:pPr>
        <w:pStyle w:val="Caption"/>
        <w:jc w:val="center"/>
      </w:pPr>
      <w:r>
        <w:rPr>
          <w:b/>
          <w:color w:val="404040"/>
        </w:rPr>
        <w:t>Salesforce Lightning Experience with the user profile dropdown open. The "Switch to Salesforce Classic" option is highlighted under Options.</w:t>
      </w:r>
    </w:p>
    <w:p>
      <w:pPr>
        <w:pStyle w:val="Heading1"/>
        <w:keepNext/>
        <w:keepLines/>
        <w:outlineLvl w:val="0"/>
      </w:pPr>
      <w:r>
        <w:rPr>
          <w:b/>
          <w:color w:val="404040"/>
          <w:sz w:val="32"/>
          <w:rFonts w:ascii="Inter" w:hAnsi="Inter" w:eastAsia="Noto Sans CJK JP" w:cs="Noto Sans CJK JP"/>
        </w:rPr>
        <w:t>Step 3: Navigate to the Accounts tab in Classic</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j</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60000"/>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960000"/>
                    </a:xfrm>
                    <a:prstGeom prst="rect"/>
                  </pic:spPr>
                </pic:pic>
              </a:graphicData>
            </a:graphic>
          </wp:inline>
        </w:drawing>
      </w:r>
    </w:p>
    <w:p>
      <w:pPr>
        <w:pStyle w:val="Caption"/>
        <w:jc w:val="center"/>
      </w:pPr>
      <w:r>
        <w:rPr>
          <w:b/>
          <w:color w:val="404040"/>
        </w:rPr>
        <w:t>Salesforce Classic "All Tabs" page with a list of available tabs. The "Accounts" link is visible and ready to be clicked.</w:t>
      </w:r>
    </w:p>
    <w:p>
      <w:pPr>
        <w:pStyle w:val="Heading1"/>
        <w:keepNext/>
        <w:keepLines/>
        <w:outlineLvl w:val="0"/>
      </w:pPr>
      <w:r>
        <w:rPr>
          <w:b/>
          <w:color w:val="404040"/>
          <w:sz w:val="32"/>
          <w:rFonts w:ascii="Inter" w:hAnsi="Inter" w:eastAsia="Noto Sans CJK JP" w:cs="Noto Sans CJK JP"/>
        </w:rPr>
        <w:t>Step 4: Access the Merge Accounts tool</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60000"/>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2960000"/>
                    </a:xfrm>
                    <a:prstGeom prst="rect"/>
                  </pic:spPr>
                </pic:pic>
              </a:graphicData>
            </a:graphic>
          </wp:inline>
        </w:drawing>
      </w:r>
    </w:p>
    <w:p>
      <w:pPr>
        <w:pStyle w:val="Caption"/>
        <w:jc w:val="center"/>
      </w:pPr>
      <w:r>
        <w:rPr>
          <w:b/>
          <w:color w:val="404040"/>
        </w:rPr>
        <w:t>Salesforce Classic Accounts Home page. The "Merge Accounts" link is visible in the Tools section on the right.</w:t>
      </w:r>
    </w:p>
    <w:p>
      <w:pPr>
        <w:pStyle w:val="Heading1"/>
        <w:keepNext/>
        <w:keepLines/>
        <w:outlineLvl w:val="0"/>
      </w:pPr>
      <w:r>
        <w:rPr>
          <w:b/>
          <w:color w:val="404040"/>
          <w:sz w:val="32"/>
          <w:rFonts w:ascii="Inter" w:hAnsi="Inter" w:eastAsia="Noto Sans CJK JP" w:cs="Noto Sans CJK JP"/>
        </w:rPr>
        <w:t>Step 5: Search for duplicate accounts</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60000"/>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2960000"/>
                    </a:xfrm>
                    <a:prstGeom prst="rect"/>
                  </pic:spPr>
                </pic:pic>
              </a:graphicData>
            </a:graphic>
          </wp:inline>
        </w:drawing>
      </w:r>
    </w:p>
    <w:p>
      <w:pPr>
        <w:pStyle w:val="Caption"/>
        <w:jc w:val="center"/>
      </w:pPr>
      <w:r>
        <w:rPr>
          <w:b/>
          <w:color w:val="404040"/>
        </w:rPr>
        <w:t>Salesforce Classic "Merge My Accounts" wizard, Step 1. The search box contains "rotive," and both "Rotive LLC" and "Rotive Inc" are selected for merging.</w:t>
      </w:r>
    </w:p>
    <w:p>
      <w:pPr>
        <w:pStyle w:val="Heading1"/>
        <w:keepNext/>
        <w:keepLines/>
        <w:outlineLvl w:val="0"/>
      </w:pPr>
      <w:r>
        <w:rPr>
          <w:b/>
          <w:color w:val="404040"/>
          <w:sz w:val="32"/>
          <w:rFonts w:ascii="Inter" w:hAnsi="Inter" w:eastAsia="Noto Sans CJK JP" w:cs="Noto Sans CJK JP"/>
        </w:rPr>
        <w:t>Step 6: Select the values to retain</w:t>
      </w:r>
    </w:p>
    <w:p>
      <w:pPr>
        <w:keepNext/>
        <w:keepLines/>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60000"/>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960000"/>
                    </a:xfrm>
                    <a:prstGeom prst="rect"/>
                  </pic:spPr>
                </pic:pic>
              </a:graphicData>
            </a:graphic>
          </wp:inline>
        </w:drawing>
      </w:r>
    </w:p>
    <w:p>
      <w:pPr>
        <w:pStyle w:val="Caption"/>
        <w:jc w:val="center"/>
      </w:pPr>
      <w:r>
        <w:rPr>
          <w:b/>
          <w:color w:val="404040"/>
        </w:rPr>
        <w:t>Salesforce Classic "Merge My Accounts" wizard, Step 2. Fields from both accounts are displayed side by side for selection. "Rotive LLC" has more complete data.</w:t>
      </w:r>
    </w:p>
    <w:p>
      <w:pPr>
        <w:pStyle w:val="Heading1"/>
        <w:keepNext/>
        <w:keepLines/>
        <w:outlineLvl w:val="0"/>
      </w:pPr>
      <w:r>
        <w:rPr>
          <w:b/>
          <w:color w:val="404040"/>
          <w:sz w:val="32"/>
          <w:rFonts w:ascii="Inter" w:hAnsi="Inter" w:eastAsia="Noto Sans CJK JP" w:cs="Noto Sans CJK JP"/>
        </w:rPr>
        <w:t>Step 7: Merge the accounts</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g</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60000"/>
            <wp:docPr id="7" name="Picture 7"/>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960000"/>
                    </a:xfrm>
                    <a:prstGeom prst="rect"/>
                  </pic:spPr>
                </pic:pic>
              </a:graphicData>
            </a:graphic>
          </wp:inline>
        </w:drawing>
      </w:r>
    </w:p>
    <w:p>
      <w:pPr>
        <w:pStyle w:val="Caption"/>
        <w:jc w:val="center"/>
      </w:pPr>
      <w:r>
        <w:rPr>
          <w:b/>
          <w:color w:val="404040"/>
        </w:rPr>
        <w:t>Salesforce Classic merge confirmation dialog: "These records will be merged into one record using the selected values. Merging can't be undone. Proceed with the record merge?" with OK and Cancel buttons.</w:t>
      </w:r>
    </w:p>
    <w:p>
      <w:pP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Verifying the merged account in Salesforce Lightning</w:t>
      </w:r>
    </w:p>
    <w:p>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1: Return to Salesforce Lightning Experience</w:t>
      </w:r>
    </w:p>
    <w:p>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2: Confirm only one account exists</w:t>
      </w:r>
    </w:p>
    <w:p>
      <w:pP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3: Open the merged account record</w:t>
      </w:r>
    </w:p>
    <w:p>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4: Review account details</w:t>
      </w:r>
    </w:p>
    <w:p>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s</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C</w:t>
      </w:r>
    </w:p>
    <w:p>
      <w:pPr>
        <w:pStyle w:val="ListBullet2"/>
      </w:pP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p>
    <w:p>
      <w:pPr>
        <w:pStyle w:val="ListBullet2"/>
      </w:pP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y</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p>
    <w:p>
      <w:pPr>
        <w:pStyle w:val="ListBullet2"/>
      </w:pPr>
      <w:r>
        <w:rPr>
          <w:b/>
          <w:color w:val="404040"/>
          <w:sz w:val="24"/>
          <w:rFonts w:ascii="Inter" w:hAnsi="Inter" w:eastAsia="Noto Sans CJK JP" w:cs="Noto Sans CJK JP"/>
        </w:rPr>
        <w:t>P</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8</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8</w:t>
      </w:r>
      <w:r>
        <w:rPr>
          <w:color w:val="404040"/>
          <w:sz w:val="24"/>
          <w:rFonts w:ascii="Inter" w:hAnsi="Inter" w:eastAsia="Noto Sans CJK JP" w:cs="Noto Sans CJK JP"/>
        </w:rPr>
        <w:t>1</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5</w:t>
      </w:r>
      <w:r>
        <w:rPr>
          <w:color w:val="404040"/>
          <w:sz w:val="24"/>
          <w:rFonts w:ascii="Inter" w:hAnsi="Inter" w:eastAsia="Noto Sans CJK JP" w:cs="Noto Sans CJK JP"/>
        </w:rPr>
        <w:t>5</w:t>
      </w:r>
      <w:r>
        <w:rPr>
          <w:color w:val="404040"/>
          <w:sz w:val="24"/>
          <w:rFonts w:ascii="Inter" w:hAnsi="Inter" w:eastAsia="Noto Sans CJK JP" w:cs="Noto Sans CJK JP"/>
        </w:rPr>
        <w:t>6</w:t>
      </w:r>
      <w:r>
        <w:rPr>
          <w:color w:val="404040"/>
          <w:sz w:val="24"/>
          <w:rFonts w:ascii="Inter" w:hAnsi="Inter" w:eastAsia="Noto Sans CJK JP" w:cs="Noto Sans CJK JP"/>
        </w:rPr>
        <w:t>2</w:t>
      </w:r>
    </w:p>
    <w:p>
      <w:pPr>
        <w:pStyle w:val="ListBullet2"/>
      </w:pPr>
      <w:r>
        <w:rPr>
          <w:b/>
          <w:color w:val="404040"/>
          <w:sz w:val="24"/>
          <w:rFonts w:ascii="Inter" w:hAnsi="Inter" w:eastAsia="Noto Sans CJK JP" w:cs="Noto Sans CJK JP"/>
        </w:rPr>
        <w:t>B</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2</w:t>
      </w:r>
      <w:r>
        <w:rPr>
          <w:color w:val="404040"/>
          <w:sz w:val="24"/>
          <w:rFonts w:ascii="Inter" w:hAnsi="Inter" w:eastAsia="Noto Sans CJK JP" w:cs="Noto Sans CJK JP"/>
        </w:rPr>
        <w:t>3</w:t>
      </w:r>
      <w:r>
        <w:rPr>
          <w:color w:val="404040"/>
          <w:sz w:val="24"/>
          <w:rFonts w:ascii="Inter" w:hAnsi="Inter" w:eastAsia="Noto Sans CJK JP" w:cs="Noto Sans CJK JP"/>
        </w:rPr>
        <w:t>4</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7</w:t>
      </w:r>
      <w:r>
        <w:rPr>
          <w:color w:val="404040"/>
          <w:sz w:val="24"/>
          <w:rFonts w:ascii="Inter" w:hAnsi="Inter" w:eastAsia="Noto Sans CJK JP" w:cs="Noto Sans CJK JP"/>
        </w:rPr>
        <w:t>8</w:t>
      </w:r>
      <w:r>
        <w:rPr>
          <w:color w:val="404040"/>
          <w:sz w:val="24"/>
          <w:rFonts w:ascii="Inter" w:hAnsi="Inter" w:eastAsia="Noto Sans CJK JP" w:cs="Noto Sans CJK JP"/>
        </w:rPr>
        <w:t>7</w:t>
      </w:r>
      <w:r>
        <w:rPr>
          <w:color w:val="404040"/>
          <w:sz w:val="24"/>
          <w:rFonts w:ascii="Inter" w:hAnsi="Inter" w:eastAsia="Noto Sans CJK JP" w:cs="Noto Sans CJK JP"/>
        </w:rPr>
        <w:t>0</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4</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5</w:t>
      </w:r>
      <w:r>
        <w:rPr>
          <w:color w:val="404040"/>
          <w:sz w:val="24"/>
          <w:rFonts w:ascii="Inter" w:hAnsi="Inter" w:eastAsia="Noto Sans CJK JP" w:cs="Noto Sans CJK JP"/>
        </w:rPr>
        <w:t>0</w:t>
      </w:r>
      <w:r>
        <w:rPr>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k</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9</w:t>
      </w:r>
      <w:r>
        <w:rPr>
          <w:color w:val="404040"/>
          <w:sz w:val="24"/>
          <w:rFonts w:ascii="Inter" w:hAnsi="Inter" w:eastAsia="Noto Sans CJK JP" w:cs="Noto Sans CJK JP"/>
        </w:rPr>
        <w:t>9</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60000"/>
            <wp:docPr id="8" name="Picture 8"/>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2960000"/>
                    </a:xfrm>
                    <a:prstGeom prst="rect"/>
                  </pic:spPr>
                </pic:pic>
              </a:graphicData>
            </a:graphic>
          </wp:inline>
        </w:drawing>
      </w:r>
    </w:p>
    <w:p>
      <w:pPr>
        <w:pStyle w:val="Caption"/>
        <w:jc w:val="center"/>
      </w:pPr>
      <w:r>
        <w:rPr>
          <w:b/>
          <w:color w:val="404040"/>
        </w:rPr>
        <w:t>Salesforce Lightning Experience showing the merged "Rotive LLC" account record. The Details tab is open, displaying fields such as Account Owner, Account Name, Type, Industry, Phone, Billing Address, and Shipping Address.</w:t>
      </w:r>
    </w:p>
    <w:p>
      <w:pPr>
        <w:pStyle w:val="Heading2"/>
        <w:keepNext/>
        <w:keepLines/>
        <w:ind w:left="0"/>
        <w:outlineLvl w:val="1"/>
      </w:pPr>
      <w:r>
        <w:rPr>
          <w:b/>
          <w:color w:val="404040"/>
          <w:sz w:val="28"/>
          <w:rFonts w:ascii="Inter" w:hAnsi="Inter" w:eastAsia="Noto Sans CJK JP" w:cs="Noto Sans CJK JP"/>
        </w:rPr>
        <w:t>Step 5: Verify data integrity</w:t>
      </w:r>
    </w:p>
    <w:p>
      <w:pP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6: Completion and support</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r>
        <w:br w:type="page"/>
      </w:r>
    </w:p>
    <w:sectPr w:rsidR="00FC693F" w:rsidRPr="0006063C" w:rsidSect="00034616">
      <w:headerReference w:type="default" r:id="rId14"/>
      <w:footerReference w:type="default" r:id="rId1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header" Target="header1.xml"/><Relationship Id="rId1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