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keepNext/>
        <w:keepLines/>
        <w:outlineLvl w:val="0"/>
      </w:pPr>
      <w:r>
        <w:rPr>
          <w:b/>
          <w:color w:val="404040"/>
          <w:sz w:val="44"/>
          <w:rFonts w:ascii="Inter" w:hAnsi="Inter" w:eastAsia="Noto Sans CJK JP" w:cs="Noto Sans CJK JP"/>
        </w:rPr>
        <w:t>MIG Welding Basics and Technique: Standard Operating Procedure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Purpose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—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—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Scope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Required equipment and materials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5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7</w:t>
      </w:r>
      <w:r>
        <w:rPr>
          <w:color w:val="404040"/>
          <w:sz w:val="24"/>
          <w:rFonts w:ascii="Inter" w:hAnsi="Inter" w:eastAsia="Noto Sans CJK JP" w:cs="Noto Sans CJK JP"/>
        </w:rPr>
        <w:t>5</w:t>
      </w:r>
      <w:r>
        <w:rPr>
          <w:color w:val="404040"/>
          <w:sz w:val="24"/>
          <w:rFonts w:ascii="Inter" w:hAnsi="Inter" w:eastAsia="Noto Sans CJK JP" w:cs="Noto Sans CJK JP"/>
        </w:rPr>
        <w:t>%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/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>5</w:t>
      </w:r>
      <w:r>
        <w:rPr>
          <w:color w:val="404040"/>
          <w:sz w:val="24"/>
          <w:rFonts w:ascii="Inter" w:hAnsi="Inter" w:eastAsia="Noto Sans CJK JP" w:cs="Noto Sans CJK JP"/>
        </w:rPr>
        <w:t>%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>)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)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Procedure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Step 1: Understand the three key focus areas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Step 2: Prepare your welding setup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7</w:t>
      </w:r>
      <w:r>
        <w:rPr>
          <w:color w:val="404040"/>
          <w:sz w:val="24"/>
          <w:rFonts w:ascii="Inter" w:hAnsi="Inter" w:eastAsia="Noto Sans CJK JP" w:cs="Noto Sans CJK JP"/>
        </w:rPr>
        <w:t>5</w:t>
      </w:r>
      <w:r>
        <w:rPr>
          <w:color w:val="404040"/>
          <w:sz w:val="24"/>
          <w:rFonts w:ascii="Inter" w:hAnsi="Inter" w:eastAsia="Noto Sans CJK JP" w:cs="Noto Sans CJK JP"/>
        </w:rPr>
        <w:t>%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>5</w:t>
      </w:r>
      <w:r>
        <w:rPr>
          <w:color w:val="404040"/>
          <w:sz w:val="24"/>
          <w:rFonts w:ascii="Inter" w:hAnsi="Inter" w:eastAsia="Noto Sans CJK JP" w:cs="Noto Sans CJK JP"/>
        </w:rPr>
        <w:t>%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—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/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Step 3: Ensure proper grounding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Step 4: Clean your material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Step 5: Set your machine according to material and wire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—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Close-up of a 115 Volt wire welder with the settings chart visible inside the open panel, showing wire, gas, and control settings for different material thicknesses and wire diameters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Step 6: Set the correct stick out (distance)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—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3</w:t>
      </w:r>
      <w:r>
        <w:rPr>
          <w:color w:val="404040"/>
          <w:sz w:val="24"/>
          <w:rFonts w:ascii="Inter" w:hAnsi="Inter" w:eastAsia="Noto Sans CJK JP" w:cs="Noto Sans CJK JP"/>
        </w:rPr>
        <w:t>/</w:t>
      </w:r>
      <w:r>
        <w:rPr>
          <w:color w:val="404040"/>
          <w:sz w:val="24"/>
          <w:rFonts w:ascii="Inter" w:hAnsi="Inter" w:eastAsia="Noto Sans CJK JP" w:cs="Noto Sans CJK JP"/>
        </w:rPr>
        <w:t>8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/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Demonstration of proper stick out distance, showing the welder holding the MIG gun with the wire extending from the contact tip above a metal work table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Step 7: Maintain consistent stick out while welding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Welder demonstrating how to prop their hand vertically on the work table and use the other hand to guide the MIG gun, maintaining a steady stick out distance along the joint</w:t>
      </w:r>
    </w:p>
    <w:p>
      <w:pPr/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Step 8: Recognize the effects of incorrect stick out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>/</w:t>
      </w:r>
      <w:r>
        <w:rPr>
          <w:b/>
          <w:color w:val="404040"/>
          <w:sz w:val="24"/>
          <w:rFonts w:ascii="Inter" w:hAnsi="Inter" w:eastAsia="Noto Sans CJK JP" w:cs="Noto Sans CJK JP"/>
        </w:rPr>
        <w:t>q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3</w:t>
      </w:r>
      <w:r>
        <w:rPr>
          <w:color w:val="404040"/>
          <w:sz w:val="24"/>
          <w:rFonts w:ascii="Inter" w:hAnsi="Inter" w:eastAsia="Noto Sans CJK JP" w:cs="Noto Sans CJK JP"/>
        </w:rPr>
        <w:t>/</w:t>
      </w:r>
      <w:r>
        <w:rPr>
          <w:color w:val="404040"/>
          <w:sz w:val="24"/>
          <w:rFonts w:ascii="Inter" w:hAnsi="Inter" w:eastAsia="Noto Sans CJK JP" w:cs="Noto Sans CJK JP"/>
        </w:rPr>
        <w:t>8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/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Welder demonstrating the MIG gun held too close to the workpiece, illustrating the risk of burning the wire back into the contact tip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Step 9: Practice stick out with dry runs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Welder performing a dry run, moving the MIG gun along the joint without activating the trigger to practice maintaining consistent stick out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Step 10: Begin welding and monitor stick out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Welder starting to weld, maintaining proper stick out and using their hand for support along the joint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Step 11: Identify and set the work angle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4</w:t>
      </w:r>
      <w:r>
        <w:rPr>
          <w:color w:val="404040"/>
          <w:sz w:val="24"/>
          <w:rFonts w:ascii="Inter" w:hAnsi="Inter" w:eastAsia="Noto Sans CJK JP" w:cs="Noto Sans CJK JP"/>
        </w:rPr>
        <w:t>5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4</w:t>
      </w:r>
      <w:r>
        <w:rPr>
          <w:color w:val="404040"/>
          <w:sz w:val="24"/>
          <w:rFonts w:ascii="Inter" w:hAnsi="Inter" w:eastAsia="Noto Sans CJK JP" w:cs="Noto Sans CJK JP"/>
        </w:rPr>
        <w:t>5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Welder demonstrating the correct work angle for a T-joint, holding the MIG gun at approximately 45 degrees to the joint, with labeled plates "Tee" and "Butt" visible on the work table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Step 12: Set the travel angle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Step 13: Practice both angles with dry runs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—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Welder performing a dry run along a T-joint, maintaining both the correct work angle of 45 degrees and a slight push travel angle, with the MIG gun positioned over the labeled plates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Step 14: Verify angle consistency across the entire joint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Welder demonstrating the MIG gun at the end of a dry run, showing consistent angle across the T-joint with labeled plates "Tee" and "Butt" visible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Step 15: Practice dry runs on the workbench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/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0" name="Picture 1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Person in a welding jacket holding a MIG gun above two labeled metal plates, "Tee" and "Butt/Loop," on a metal workbench, demonstrating dry run practice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Step 16: Watch for excessive gun angles</w:t>
      </w:r>
    </w:p>
    <w:p>
      <w:pPr>
        <w:keepNext/>
        <w:keepLines/>
      </w:pP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>/</w:t>
      </w:r>
      <w:r>
        <w:rPr>
          <w:b/>
          <w:color w:val="404040"/>
          <w:sz w:val="24"/>
          <w:rFonts w:ascii="Inter" w:hAnsi="Inter" w:eastAsia="Noto Sans CJK JP" w:cs="Noto Sans CJK JP"/>
        </w:rPr>
        <w:t>q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—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1" name="Picture 1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Person demonstrating MIG gun angle toward the "Tee" joint, emphasizing the importance of correct angles to avoid spatter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Step 17: Apply extra care to angle when welding out of position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2" name="Picture 1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Person holding the MIG gun at an angle over the "Tee" and "Butt/Loop" plates, discussing angle importance in out-of-position welding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Step 18: Adjust gun position for vertical and overhead welding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3" name="Picture 1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Person lifting the metal workpiece labeled "Tee" and "Butt/Loop" while holding the MIG gun, preparing to demonstrate vertical/overhead welding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Step 19: Focus on travel speed and motion pattern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4" name="Picture 1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Person holding the MIG gun with both hands, workpiece set up for welding, emphasizing travel speed and movement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Step 20: Monitor your travel speed</w:t>
      </w:r>
    </w:p>
    <w:p>
      <w:pPr>
        <w:keepNext/>
        <w:keepLines/>
      </w:pPr>
      <w:r>
        <w:rPr>
          <w:b/>
          <w:color w:val="404040"/>
          <w:sz w:val="24"/>
          <w:rFonts w:ascii="Inter" w:hAnsi="Inter" w:eastAsia="Noto Sans CJK JP" w:cs="Noto Sans CJK JP"/>
        </w:rPr>
        <w:t>Q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5" name="Picture 1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Close-up of an active welding arc and molten weld pool, illustrating the effect of travel speed on bead width and penetration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Step 21: Experiment with weaving techniques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6" name="Picture 1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Welding arc with visible blue and yellow light, demonstrating a weaving technique during welding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Step 22: Stay centered on the joint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—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7" name="Picture 1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Welding arc with visible sparks, emphasizing the importance of staying centered on the joint during welding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Step 23: Explore weaving options for weld beads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8" name="Picture 1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Person in a welding jacket holding a MIG gun above a metal workbench, with labeled metal pieces "Tee" and "Butt/Loop" nearby, demonstrating weaving technique options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Step 24: Maintain control during weaving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Q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9" name="Picture 1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Person holding the MIG gun in both hands, demonstrating a controlled weaving motion above the workbench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Step 25: Review and compare weld beads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: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—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—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—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—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—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—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—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—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20" name="Picture 2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Close-up of a metal plate with multiple weld beads, each labeled: Good, Long, Short, Angle, Fast, Slow, E-pattern, M-pattern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Step 26: Identify weld defects — porosity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21" name="Picture 2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Close-up of a weld bead plate showing porosity and other defects, with handwritten labels for each weld type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Step 27: Understand the effects of arc length and spatter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22" name="Picture 2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Close-up of a weld bead plate, highlighting the effects of arc length and spatter on weld quality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Step 28: Avoid burn-through on thin material</w:t>
      </w:r>
    </w:p>
    <w:p>
      <w:pPr>
        <w:keepNext/>
        <w:keepLines/>
      </w:pP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>/</w:t>
      </w:r>
      <w:r>
        <w:rPr>
          <w:b/>
          <w:color w:val="404040"/>
          <w:sz w:val="24"/>
          <w:rFonts w:ascii="Inter" w:hAnsi="Inter" w:eastAsia="Noto Sans CJK JP" w:cs="Noto Sans CJK JP"/>
        </w:rPr>
        <w:t>q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—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23" name="Picture 2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Close-up of a weld bead plate, illustrating burn-through and other issues caused by incorrect technique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Step 29: Practice and tune your technique at the bench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24" name="Picture 2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Instructor standing in a welding workshop with fire extinguishers, gas cylinders, and welding machines visible, emphasizing the importance of practice and tuning technique at the bench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Step 30: Master one welding variable at a time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25" name="Picture 2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Instructor in a welding workshop, standing near fire extinguishers, gas cylinders, and welding machines, emphasizing the importance of mastering one welding variable at a time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Verification and summary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: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3</w:t>
      </w:r>
      <w:r>
        <w:rPr>
          <w:color w:val="404040"/>
          <w:sz w:val="24"/>
          <w:rFonts w:ascii="Inter" w:hAnsi="Inter" w:eastAsia="Noto Sans CJK JP" w:cs="Noto Sans CJK JP"/>
        </w:rPr>
        <w:t>/</w:t>
      </w:r>
      <w:r>
        <w:rPr>
          <w:color w:val="404040"/>
          <w:sz w:val="24"/>
          <w:rFonts w:ascii="Inter" w:hAnsi="Inter" w:eastAsia="Noto Sans CJK JP" w:cs="Noto Sans CJK JP"/>
        </w:rPr>
        <w:t>8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/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—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—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What's next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26" name="Picture 2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Instructor in a welding workshop, gesturing with hand, encouraging viewers to subscribe and continue learning</w:t>
      </w:r>
    </w:p>
    <w:p>
      <w:pPr/>
      <w:r>
        <w:br w:type="page"/>
      </w:r>
    </w:p>
    <w:sectPr w:rsidR="00FC693F" w:rsidRPr="0006063C" w:rsidSect="00034616">
      <w:headerReference w:type="default" r:id="rId29"/>
      <w:footerReference w:type="default" r:id="rId30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left"/>
    </w:pPr>
    <w:r>
      <w:t>Generated with docsie.io</w:t>
    </w:r>
  </w:p>
  <w:p>
    <w:pPr>
      <w:jc w:val="right"/>
    </w:pPr>
    <w:r>
      <w:fldChar w:fldCharType="begin"/>
      <w:instrText xml:space="preserve">PAGE</w:instrText>
      <w:fldChar w:fldCharType="end"/>
    </w:r>
    <w:r>
      <w:t xml:space="preserve"> / </w:t>
    </w:r>
    <w:r>
      <w:fldChar w:fldCharType="begin"/>
      <w:instrText xml:space="preserve">NUMPAGES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Inter" w:hAnsi="Inter" w:eastAsia="Noto Sans CJK JP" w:cs="Noto Sans CJK JP"/>
      <w:color w:val="40404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b/>
      <w:bCs/>
      <w:color w:val="404040"/>
      <w:sz w:val="28"/>
      <w:szCs w:val="28"/>
      <w:rFonts w:ascii="Inter" w:hAnsi="Inter" w:eastAsia="Noto Sans CJK JP" w:cs="Noto Sans CJK JP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b/>
      <w:bCs/>
      <w:color w:val="404040"/>
      <w:sz w:val="26"/>
      <w:szCs w:val="26"/>
      <w:rFonts w:ascii="Inter" w:hAnsi="Inter" w:eastAsia="Noto Sans CJK JP" w:cs="Noto Sans CJK JP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color w:val="404040"/>
      <w:spacing w:val="5"/>
      <w:kern w:val="28"/>
      <w:sz w:val="52"/>
      <w:szCs w:val="52"/>
      <w:rFonts w:ascii="Inter" w:hAnsi="Inter" w:eastAsia="Noto Sans CJK JP" w:cs="Noto Sans CJK JP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  <w:rPr>
      <w:rFonts w:ascii="Inter" w:hAnsi="Inter" w:eastAsia="Noto Sans CJK JP" w:cs="Noto Sans CJK JP"/>
      <w:color w:val="404040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04040"/>
      <w:sz w:val="20"/>
      <w:szCs w:val="18"/>
      <w:rFonts w:ascii="Inter" w:hAnsi="Inter" w:eastAsia="Noto Sans CJK JP" w:cs="Noto Sans CJK JP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Relationship Id="rId10" Type="http://schemas.openxmlformats.org/officeDocument/2006/relationships/image" Target="media/image2.jpg"/><Relationship Id="rId11" Type="http://schemas.openxmlformats.org/officeDocument/2006/relationships/image" Target="media/image3.jpg"/><Relationship Id="rId12" Type="http://schemas.openxmlformats.org/officeDocument/2006/relationships/image" Target="media/image4.jpg"/><Relationship Id="rId13" Type="http://schemas.openxmlformats.org/officeDocument/2006/relationships/image" Target="media/image5.jpg"/><Relationship Id="rId14" Type="http://schemas.openxmlformats.org/officeDocument/2006/relationships/image" Target="media/image6.jpg"/><Relationship Id="rId15" Type="http://schemas.openxmlformats.org/officeDocument/2006/relationships/image" Target="media/image7.jpg"/><Relationship Id="rId16" Type="http://schemas.openxmlformats.org/officeDocument/2006/relationships/image" Target="media/image8.jpg"/><Relationship Id="rId17" Type="http://schemas.openxmlformats.org/officeDocument/2006/relationships/image" Target="media/image9.jpg"/><Relationship Id="rId18" Type="http://schemas.openxmlformats.org/officeDocument/2006/relationships/image" Target="media/image10.jpg"/><Relationship Id="rId19" Type="http://schemas.openxmlformats.org/officeDocument/2006/relationships/image" Target="media/image11.jpg"/><Relationship Id="rId20" Type="http://schemas.openxmlformats.org/officeDocument/2006/relationships/image" Target="media/image12.jpg"/><Relationship Id="rId21" Type="http://schemas.openxmlformats.org/officeDocument/2006/relationships/image" Target="media/image13.jpg"/><Relationship Id="rId22" Type="http://schemas.openxmlformats.org/officeDocument/2006/relationships/image" Target="media/image14.jpg"/><Relationship Id="rId23" Type="http://schemas.openxmlformats.org/officeDocument/2006/relationships/image" Target="media/image15.jpg"/><Relationship Id="rId24" Type="http://schemas.openxmlformats.org/officeDocument/2006/relationships/image" Target="media/image16.jpg"/><Relationship Id="rId25" Type="http://schemas.openxmlformats.org/officeDocument/2006/relationships/image" Target="media/image17.jpg"/><Relationship Id="rId26" Type="http://schemas.openxmlformats.org/officeDocument/2006/relationships/image" Target="media/image18.jpg"/><Relationship Id="rId27" Type="http://schemas.openxmlformats.org/officeDocument/2006/relationships/image" Target="media/image19.jpg"/><Relationship Id="rId28" Type="http://schemas.openxmlformats.org/officeDocument/2006/relationships/image" Target="media/image20.jpg"/><Relationship Id="rId29" Type="http://schemas.openxmlformats.org/officeDocument/2006/relationships/header" Target="header1.xml"/><Relationship Id="rId3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