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keepLines/>
        <w:outlineLvl w:val="0"/>
      </w:pPr>
      <w:r>
        <w:rPr>
          <w:b/>
          <w:color w:val="404040"/>
          <w:sz w:val="44"/>
          <w:rFonts w:ascii="Inter" w:hAnsi="Inter" w:eastAsia="Noto Sans CJK JP" w:cs="Noto Sans CJK JP"/>
        </w:rPr>
        <w:t>How to Log Roll a Patient with Suspected or Confirmed Spinal Injury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Purpose and scope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Disclaimer screen noting educational purpose, copyright notice, and the McGill and Ingram School logos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Patient assessment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tbl>
      <w:tblPr>
        <w:tblW w:w="8640" w:type="dxa"/>
        <w:tblStyle w:val="TableGrid"/>
        <w:tblLook w:firstColumn="1" w:firstRow="1" w:lastColumn="0" w:lastRow="0" w:noHBand="0" w:noVBand="1" w:val="04A0"/>
        <w:jc w:val="center"/>
        <w:tblLayout w:type="fixed"/>
      </w:tblPr>
      <w:tblGrid>
        <w:gridCol w:w="4320"/>
        <w:gridCol w:w="4320"/>
      </w:tblGrid>
      <w:tr>
        <w:trPr>
          <w:cantSplit/>
        </w:trPr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k</w:t>
            </w:r>
          </w:p>
        </w:tc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</w:p>
        </w:tc>
      </w:tr>
      <w:tr>
        <w:trPr>
          <w:cantSplit/>
        </w:trPr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q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</w:p>
        </w:tc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q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.</w:t>
            </w:r>
          </w:p>
        </w:tc>
      </w:tr>
      <w:tr>
        <w:trPr>
          <w:cantSplit/>
        </w:trPr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</w:p>
        </w:tc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.</w:t>
            </w:r>
          </w:p>
        </w:tc>
      </w:tr>
      <w:tr>
        <w:trPr>
          <w:cantSplit/>
        </w:trPr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k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</w:p>
        </w:tc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k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,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,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,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.</w:t>
            </w:r>
          </w:p>
        </w:tc>
      </w:tr>
      <w:tr>
        <w:trPr>
          <w:cantSplit/>
        </w:trPr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</w:p>
        </w:tc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j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k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.</w:t>
            </w:r>
          </w:p>
        </w:tc>
      </w:tr>
      <w:tr>
        <w:trPr>
          <w:cantSplit/>
        </w:trPr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</w:p>
        </w:tc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.</w:t>
            </w:r>
          </w:p>
        </w:tc>
      </w:tr>
    </w:tbl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Reminders screen listing equipment checks, environment preparation, brake engagement, bed height adjustment, and patient footwear requirements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Care protocol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1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Three healthcare workers in scrubs and masks standing around a patient lying supine on a hospital bed</w:t>
      </w:r>
    </w:p>
    <w:p>
      <w:pPr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2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Three healthcare workers positioned around the bed, with one worker at the head and two at the side</w:t>
      </w:r>
    </w:p>
    <w:p>
      <w:pPr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3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Close-up of the healthcare worker at the head of the bed with hands positioned near the patient's head, while the other workers stand at the side</w:t>
      </w:r>
    </w:p>
    <w:p>
      <w:pPr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4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Two healthcare workers on the same side of the bed, gripping the patient at shoulder, hip, waist, and thigh while demonstrating proper body mechanics</w:t>
      </w:r>
    </w:p>
    <w:p>
      <w:pPr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5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Three healthcare workers rolling the patient back to the supine position on the hospital bed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Pain management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Mobility milestones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tbl>
      <w:tblPr>
        <w:tblW w:w="8640" w:type="dxa"/>
        <w:tblStyle w:val="TableGrid"/>
        <w:tblLook w:firstColumn="1" w:firstRow="1" w:lastColumn="0" w:lastRow="0" w:noHBand="0" w:noVBand="1" w:val="04A0"/>
        <w:jc w:val="center"/>
        <w:tblLayout w:type="fixed"/>
      </w:tblPr>
      <w:tblGrid>
        <w:gridCol w:w="4320"/>
        <w:gridCol w:w="4320"/>
      </w:tblGrid>
      <w:tr>
        <w:trPr>
          <w:cantSplit/>
        </w:trPr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k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</w:p>
        </w:tc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</w:p>
        </w:tc>
      </w:tr>
      <w:tr>
        <w:trPr>
          <w:cantSplit/>
        </w:trPr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0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: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0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0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–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0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: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1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7</w:t>
            </w:r>
          </w:p>
        </w:tc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q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.</w:t>
            </w:r>
          </w:p>
        </w:tc>
      </w:tr>
      <w:tr>
        <w:trPr>
          <w:cantSplit/>
        </w:trPr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0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: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1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7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–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1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: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0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9</w:t>
            </w:r>
          </w:p>
        </w:tc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,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,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.</w:t>
            </w:r>
          </w:p>
        </w:tc>
      </w:tr>
      <w:tr>
        <w:trPr>
          <w:cantSplit/>
        </w:trPr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1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: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0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9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–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1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: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4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1</w:t>
            </w:r>
          </w:p>
        </w:tc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-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k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.</w:t>
            </w:r>
          </w:p>
        </w:tc>
      </w:tr>
      <w:tr>
        <w:trPr>
          <w:cantSplit/>
        </w:trPr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1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: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4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1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–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2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: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1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9</w:t>
            </w:r>
          </w:p>
        </w:tc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'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,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.</w:t>
            </w:r>
          </w:p>
        </w:tc>
      </w:tr>
    </w:tbl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Healthcare workers performing the log roll with arms extended, turning the patient as a unit toward the left side while maintaining alignment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Three healthcare workers performing a forward-backward weight transfer, with one worker stabilizing the head and two supporting the body at the shoulder, hip, waist, and thigh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Complication monitoring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Discharge criteria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Patient education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?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?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Three healthcare workers with the patient returned to the supine position, head supported, maintaining proper hand placement and body mechanics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Acknowledgments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Credits screen listing contributors, filming team, and institutional affiliations for the McGill School of Physical and Occupational Therapy and the Ingram School of Nursing</w:t>
      </w:r>
    </w:p>
    <w:p>
      <w:pPr/>
      <w:r>
        <w:br w:type="page"/>
      </w:r>
    </w:p>
    <w:sectPr w:rsidR="00FC693F" w:rsidRPr="0006063C" w:rsidSect="00034616">
      <w:headerReference w:type="default" r:id="rId17"/>
      <w:footerReference w:type="default" r:id="rId18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</w:pPr>
    <w:r>
      <w:t>Generated with docsie.io</w:t>
    </w:r>
  </w:p>
  <w:p>
    <w:pPr>
      <w:jc w:val="right"/>
    </w:pPr>
    <w:r>
      <w:fldChar w:fldCharType="begin"/>
      <w:instrText xml:space="preserve">PAGE</w:instrText>
      <w:fldChar w:fldCharType="end"/>
    </w:r>
    <w:r>
      <w:t xml:space="preserve"> / </w:t>
    </w:r>
    <w:r>
      <w:fldChar w:fldCharType="begin"/>
      <w:instrText xml:space="preserve">NUMPAGES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nter" w:hAnsi="Inter" w:eastAsia="Noto Sans CJK JP" w:cs="Noto Sans CJK JP"/>
      <w:color w:val="40404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b/>
      <w:bCs/>
      <w:color w:val="404040"/>
      <w:sz w:val="28"/>
      <w:szCs w:val="28"/>
      <w:rFonts w:ascii="Inter" w:hAnsi="Inter" w:eastAsia="Noto Sans CJK JP" w:cs="Noto Sans CJK JP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color w:val="404040"/>
      <w:spacing w:val="5"/>
      <w:kern w:val="28"/>
      <w:sz w:val="52"/>
      <w:szCs w:val="52"/>
      <w:rFonts w:ascii="Inter" w:hAnsi="Inter" w:eastAsia="Noto Sans CJK JP" w:cs="Noto Sans CJK JP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Inter" w:hAnsi="Inter" w:eastAsia="Noto Sans CJK JP" w:cs="Noto Sans CJK JP"/>
      <w:color w:val="40404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04040"/>
      <w:sz w:val="20"/>
      <w:szCs w:val="18"/>
      <w:rFonts w:ascii="Inter" w:hAnsi="Inter" w:eastAsia="Noto Sans CJK JP" w:cs="Noto Sans CJK JP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jpg"/><Relationship Id="rId15" Type="http://schemas.openxmlformats.org/officeDocument/2006/relationships/image" Target="media/image7.jpg"/><Relationship Id="rId16" Type="http://schemas.openxmlformats.org/officeDocument/2006/relationships/image" Target="media/image8.jpg"/><Relationship Id="rId17" Type="http://schemas.openxmlformats.org/officeDocument/2006/relationships/header" Target="header1.xml"/><Relationship Id="rId1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