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keepNext/>
        <w:keepLines/>
        <w:outlineLvl w:val="0"/>
      </w:pPr>
      <w:r>
        <w:rPr>
          <w:b/>
          <w:color w:val="404040"/>
          <w:sz w:val="44"/>
          <w:rFonts w:ascii="Inter" w:hAnsi="Inter" w:eastAsia="Noto Sans CJK JP" w:cs="Noto Sans CJK JP"/>
        </w:rPr>
        <w:t>How to Care for an Open Wound: A Step-by-Step Patient Care Procedure</w:t>
      </w:r>
    </w:p>
    <w:p>
      <w:pPr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: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Screen labeled "Step 3: Protect" reading "Protect the periwound," with a wound illustration and highlighted periwound area</w:t>
      </w:r>
    </w:p>
    <w:p>
      <w:pPr>
        <w:pStyle w:val="Heading1"/>
        <w:keepNext/>
        <w:keepLines/>
        <w:outlineLvl w:val="0"/>
      </w:pPr>
      <w:r>
        <w:rPr>
          <w:b/>
          <w:color w:val="404040"/>
          <w:sz w:val="32"/>
          <w:rFonts w:ascii="Inter" w:hAnsi="Inter" w:eastAsia="Noto Sans CJK JP" w:cs="Noto Sans CJK JP"/>
        </w:rPr>
        <w:t>Purpose &amp; scope</w:t>
      </w:r>
    </w:p>
    <w:p>
      <w:pPr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Diagram of a wound with surrounding skin labeled "Step 1: Assess – Periwound: Intact, Macerated"</w:t>
      </w:r>
    </w:p>
    <w:p>
      <w:pPr/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(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)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Heading1"/>
        <w:keepNext/>
        <w:keepLines/>
        <w:outlineLvl w:val="0"/>
      </w:pPr>
      <w:r>
        <w:rPr>
          <w:b/>
          <w:color w:val="404040"/>
          <w:sz w:val="32"/>
          <w:rFonts w:ascii="Inter" w:hAnsi="Inter" w:eastAsia="Noto Sans CJK JP" w:cs="Noto Sans CJK JP"/>
        </w:rPr>
        <w:t>Patient assessment</w:t>
      </w:r>
    </w:p>
    <w:p>
      <w:pPr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tbl>
      <w:tblPr>
        <w:tblW w:w="8640" w:type="dxa"/>
        <w:tblStyle w:val="TableGrid"/>
        <w:tblLook w:firstColumn="1" w:firstRow="1" w:lastColumn="0" w:lastRow="0" w:noHBand="0" w:noVBand="1" w:val="04A0"/>
        <w:jc w:val="center"/>
        <w:tblLayout w:type="fixed"/>
      </w:tblPr>
      <w:tblGrid>
        <w:gridCol w:w="4320"/>
        <w:gridCol w:w="4320"/>
      </w:tblGrid>
      <w:tr>
        <w:trPr>
          <w:cantSplit/>
        </w:trPr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</w:p>
        </w:tc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W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v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</w:p>
        </w:tc>
      </w:tr>
      <w:tr>
        <w:trPr>
          <w:cantSplit/>
        </w:trPr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</w:p>
        </w:tc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x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w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'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,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v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</w:p>
        </w:tc>
      </w:tr>
      <w:tr>
        <w:trPr>
          <w:cantSplit/>
        </w:trPr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</w:p>
        </w:tc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,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w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,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,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w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v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</w:p>
        </w:tc>
      </w:tr>
      <w:tr>
        <w:trPr>
          <w:cantSplit/>
        </w:trPr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</w:p>
        </w:tc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W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(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-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v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w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)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(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w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k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)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,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w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w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</w:p>
        </w:tc>
      </w:tr>
      <w:tr>
        <w:trPr>
          <w:cantSplit/>
        </w:trPr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x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(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)</w:t>
            </w:r>
          </w:p>
        </w:tc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(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,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,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,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)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,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,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,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</w:p>
        </w:tc>
      </w:tr>
      <w:tr>
        <w:trPr>
          <w:cantSplit/>
        </w:trPr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</w:p>
        </w:tc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v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;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(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,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,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,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)</w:t>
            </w:r>
          </w:p>
        </w:tc>
      </w:tr>
      <w:tr>
        <w:trPr>
          <w:cantSplit/>
        </w:trPr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w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</w:p>
        </w:tc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k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—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(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)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(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v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)</w:t>
            </w:r>
          </w:p>
        </w:tc>
      </w:tr>
      <w:tr>
        <w:trPr>
          <w:cantSplit/>
        </w:trPr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</w:p>
        </w:tc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,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w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,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,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,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;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w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</w:p>
        </w:tc>
      </w:tr>
      <w:tr>
        <w:trPr>
          <w:cantSplit/>
        </w:trPr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</w:p>
        </w:tc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,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,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w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,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,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v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,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-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v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</w:p>
        </w:tc>
      </w:tr>
    </w:tbl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keepLines/>
        <w:jc w:val="center"/>
      </w:pPr>
      <w:r>
        <w:rPr>
          <w:b/>
          <w:color w:val="404040"/>
        </w:rPr>
        <w:t>Diagram showing wound locations on two human figures, with red dots indicating specific wound sites and the label "Step 1: Assess – Location"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keepLines/>
        <w:jc w:val="center"/>
      </w:pPr>
      <w:r>
        <w:rPr>
          <w:b/>
          <w:color w:val="404040"/>
        </w:rPr>
        <w:t>Diagram of a wound shape labeled "Step 1: Assess – Location, Length, Width, Depth"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Diagram of color-coded tissue types labeled "Epithelial Tissue," "Granulation Tissue," "Slough Tissue," and "Necrotic Tissue," under the heading "Step 1: Assess – Tissue Appearance: Color, Moisture Level"</w:t>
      </w:r>
    </w:p>
    <w:p>
      <w:pPr/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/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/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/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/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/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—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z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—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6" name="Picture 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Screen showing "Step 1: Assess" with bullet points for warm wound, odor, patient fever, and level of pain, alongside an illustration of a wound with pain indicators</w:t>
      </w:r>
    </w:p>
    <w:p>
      <w:pPr>
        <w:pStyle w:val="Heading1"/>
        <w:keepNext/>
        <w:keepLines/>
        <w:outlineLvl w:val="0"/>
      </w:pPr>
      <w:r>
        <w:rPr>
          <w:b/>
          <w:color w:val="404040"/>
          <w:sz w:val="32"/>
          <w:rFonts w:ascii="Inter" w:hAnsi="Inter" w:eastAsia="Noto Sans CJK JP" w:cs="Noto Sans CJK JP"/>
        </w:rPr>
        <w:t>Care protocol</w:t>
      </w:r>
    </w:p>
    <w:p>
      <w:pPr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tbl>
      <w:tblPr>
        <w:tblW w:w="8640" w:type="dxa"/>
        <w:tblStyle w:val="TableGrid"/>
        <w:tblLook w:firstColumn="1" w:firstRow="1" w:lastColumn="0" w:lastRow="0" w:noHBand="0" w:noVBand="1" w:val="04A0"/>
        <w:jc w:val="center"/>
        <w:tblLayout w:type="fixed"/>
      </w:tblPr>
      <w:tblGrid>
        <w:gridCol w:w="4320"/>
        <w:gridCol w:w="4320"/>
      </w:tblGrid>
      <w:tr>
        <w:trPr>
          <w:cantSplit/>
        </w:trPr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</w:p>
        </w:tc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v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</w:p>
        </w:tc>
      </w:tr>
      <w:tr>
        <w:trPr>
          <w:cantSplit/>
        </w:trPr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</w:p>
        </w:tc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w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v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;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v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,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x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,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,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-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;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w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w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z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v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,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k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w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v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</w:p>
        </w:tc>
      </w:tr>
      <w:tr>
        <w:trPr>
          <w:cantSplit/>
        </w:trPr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</w:p>
        </w:tc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w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k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-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k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,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v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,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v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w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;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w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w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-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-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k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v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</w:p>
        </w:tc>
      </w:tr>
      <w:tr>
        <w:trPr>
          <w:cantSplit/>
        </w:trPr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</w:p>
        </w:tc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w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,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w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</w:p>
        </w:tc>
      </w:tr>
      <w:tr>
        <w:trPr>
          <w:cantSplit/>
        </w:trPr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v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</w:p>
        </w:tc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v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,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w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,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,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,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v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k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v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</w:p>
        </w:tc>
      </w:tr>
      <w:tr>
        <w:trPr>
          <w:cantSplit/>
        </w:trPr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</w:p>
        </w:tc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,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w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v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</w:p>
        </w:tc>
      </w:tr>
    </w:tbl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7" name="Picture 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keepLines/>
        <w:jc w:val="center"/>
      </w:pPr>
      <w:r>
        <w:rPr>
          <w:b/>
          <w:color w:val="404040"/>
        </w:rPr>
        <w:t>Diagram showing four exudate types with color swatches labeled "Serous," "Sanguineous," "Serosanguineous," and "Purulent," under the heading "Step 1: Assess – Exudate: Drainage Color, Odor, Amount, Consistency"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8" name="Picture 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keepLines/>
        <w:jc w:val="center"/>
      </w:pPr>
      <w:r>
        <w:rPr>
          <w:b/>
          <w:color w:val="404040"/>
        </w:rPr>
        <w:t>Screen labeled "Step 2: Cleanse" reading "Cleanse and irrigate the wound, per its assessment," with a wound illustration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9" name="Picture 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keepLines/>
        <w:jc w:val="center"/>
      </w:pPr>
      <w:r>
        <w:rPr>
          <w:b/>
          <w:color w:val="404040"/>
        </w:rPr>
        <w:t>Screen labeled "Step 2: Cleanse" reading "Removes loose debris, exudate, pus, and free-floating bacteria," with a gloved hand cleaning a wound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10" name="Picture 1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Screen labeled "Step 2: Cleanse" reading "Makes the wound easier to see and evaluate," with a gloved hand swabbing a wound</w:t>
      </w:r>
    </w:p>
    <w:p>
      <w:pPr/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h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w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u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d</w:t>
      </w:r>
    </w:p>
    <w:p>
      <w:pPr/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h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w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u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d</w:t>
      </w:r>
    </w:p>
    <w:p>
      <w:pPr/>
      <w:r>
        <w:rPr>
          <w:b/>
          <w:color w:val="404040"/>
          <w:sz w:val="24"/>
          <w:rFonts w:ascii="Inter" w:hAnsi="Inter" w:eastAsia="Noto Sans CJK JP" w:cs="Noto Sans CJK JP"/>
        </w:rPr>
        <w:t>F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h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w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u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d</w:t>
      </w:r>
    </w:p>
    <w:p>
      <w:pPr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j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'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j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11" name="Picture 1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Screen labeled "Step 4: Fill" reading "Fill the wound. Prevents pockets of abscess from forming," with an illustration of a wound being filled</w:t>
      </w:r>
    </w:p>
    <w:p>
      <w:pPr/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z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;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/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'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/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v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h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w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u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d</w:t>
      </w:r>
    </w:p>
    <w:p>
      <w:pPr/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u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h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d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g</w:t>
      </w:r>
    </w:p>
    <w:p>
      <w:pPr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z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12" name="Picture 1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keepLines/>
        <w:jc w:val="center"/>
      </w:pPr>
      <w:r>
        <w:rPr>
          <w:b/>
          <w:color w:val="404040"/>
        </w:rPr>
        <w:t>Screen labeled "Step 3: Protect" reading "Clean with saline solution. Apply skin prep solution," with a gloved hand applying product to the periwound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13" name="Picture 1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keepLines/>
        <w:jc w:val="center"/>
      </w:pPr>
      <w:r>
        <w:rPr>
          <w:b/>
          <w:color w:val="404040"/>
        </w:rPr>
        <w:t>Screen labeled "Step 4: Fill" listing "Gauze, Foams, Fibers, Alginates, Gels, Anti-microbial agent," with an illustration of a wound being filled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14" name="Picture 1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keepLines/>
        <w:jc w:val="center"/>
      </w:pPr>
      <w:r>
        <w:rPr>
          <w:b/>
          <w:color w:val="404040"/>
        </w:rPr>
        <w:t>Screen labeled "Step 5: Cover" reading "Apply a protective dressing... Prevent infection," with an illustration of a covered wound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15" name="Picture 1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keepLines/>
        <w:jc w:val="center"/>
      </w:pPr>
      <w:r>
        <w:rPr>
          <w:b/>
          <w:color w:val="404040"/>
        </w:rPr>
        <w:t>Screen labeled "Step 6: Secure" reading "Apply a secondary dressing. Promote healing. Protect the wound. Secure medical devices," with an illustration of a secondary dressing secured with tape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16" name="Picture 1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Screen labeled "Step 6: Secure" listing "Gauze, Conforming stretch bandages, Tape, Transparent film, Composite dressing," with a diagram of a secured abdominal dressing</w:t>
      </w:r>
    </w:p>
    <w:p>
      <w:pPr>
        <w:pStyle w:val="Heading1"/>
        <w:keepNext/>
        <w:keepLines/>
        <w:outlineLvl w:val="0"/>
      </w:pPr>
      <w:r>
        <w:rPr>
          <w:b/>
          <w:color w:val="404040"/>
          <w:sz w:val="32"/>
          <w:rFonts w:ascii="Inter" w:hAnsi="Inter" w:eastAsia="Noto Sans CJK JP" w:cs="Noto Sans CJK JP"/>
        </w:rPr>
        <w:t>Pain management</w:t>
      </w:r>
    </w:p>
    <w:p>
      <w:pPr/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'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;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Heading1"/>
        <w:keepNext/>
        <w:keepLines/>
        <w:outlineLvl w:val="0"/>
      </w:pPr>
      <w:r>
        <w:rPr>
          <w:b/>
          <w:color w:val="404040"/>
          <w:sz w:val="32"/>
          <w:rFonts w:ascii="Inter" w:hAnsi="Inter" w:eastAsia="Noto Sans CJK JP" w:cs="Noto Sans CJK JP"/>
        </w:rPr>
        <w:t>Mobility milestones</w:t>
      </w:r>
    </w:p>
    <w:p>
      <w:pPr/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(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)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Heading1"/>
        <w:keepNext/>
        <w:keepLines/>
        <w:outlineLvl w:val="0"/>
      </w:pPr>
      <w:r>
        <w:rPr>
          <w:b/>
          <w:color w:val="404040"/>
          <w:sz w:val="32"/>
          <w:rFonts w:ascii="Inter" w:hAnsi="Inter" w:eastAsia="Noto Sans CJK JP" w:cs="Noto Sans CJK JP"/>
        </w:rPr>
        <w:t>Complication monitoring</w:t>
      </w:r>
    </w:p>
    <w:p>
      <w:pPr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j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17" name="Picture 1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Screen labeled "Step 7: Evaluate" reading "Evaluate healing progress. Healing, Regressing, No change," with a wound illustration</w:t>
      </w:r>
    </w:p>
    <w:p>
      <w:pPr/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: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</w:p>
    <w:p>
      <w:pPr>
        <w:pStyle w:val="ListBullet2"/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18" name="Picture 1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Screen labeled "Step 5: Cover" reading "Apply a protective dressing. Clean, moist wound bed. Granulation, healing &amp; closure," with an illustration of a covered wound</w:t>
      </w:r>
    </w:p>
    <w:p>
      <w:pPr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j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;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'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19" name="Picture 1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Screen labeled "Step 7: Evaluate" reading "New signs of infection? Dressings staying in place? Drainage control working?" with a wound illustration and a measurement ruler</w:t>
      </w:r>
    </w:p>
    <w:p>
      <w:pPr>
        <w:pStyle w:val="Heading1"/>
        <w:keepNext/>
        <w:keepLines/>
        <w:outlineLvl w:val="0"/>
      </w:pPr>
      <w:r>
        <w:rPr>
          <w:b/>
          <w:color w:val="404040"/>
          <w:sz w:val="32"/>
          <w:rFonts w:ascii="Inter" w:hAnsi="Inter" w:eastAsia="Noto Sans CJK JP" w:cs="Noto Sans CJK JP"/>
        </w:rPr>
        <w:t>Discharge criteria</w:t>
      </w:r>
    </w:p>
    <w:p>
      <w:pPr/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—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'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—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Heading1"/>
        <w:keepNext/>
        <w:keepLines/>
        <w:outlineLvl w:val="0"/>
      </w:pPr>
      <w:r>
        <w:rPr>
          <w:b/>
          <w:color w:val="404040"/>
          <w:sz w:val="32"/>
          <w:rFonts w:ascii="Inter" w:hAnsi="Inter" w:eastAsia="Noto Sans CJK JP" w:cs="Noto Sans CJK JP"/>
        </w:rPr>
        <w:t>Patient education</w:t>
      </w:r>
    </w:p>
    <w:p>
      <w:pPr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: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20" name="Picture 2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Screen listing the "Seven Steps of Effective Wound Management," showing steps one through four: Assess, Cleanse, Protect, Fill</w:t>
      </w:r>
    </w:p>
    <w:p>
      <w:pPr>
        <w:pStyle w:val="Heading1"/>
        <w:keepNext/>
        <w:keepLines/>
        <w:outlineLvl w:val="0"/>
      </w:pPr>
      <w:r>
        <w:rPr>
          <w:b/>
          <w:color w:val="404040"/>
          <w:sz w:val="32"/>
          <w:rFonts w:ascii="Inter" w:hAnsi="Inter" w:eastAsia="Noto Sans CJK JP" w:cs="Noto Sans CJK JP"/>
        </w:rPr>
        <w:t>What's next</w:t>
      </w:r>
    </w:p>
    <w:p>
      <w:pPr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/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—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—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21" name="Picture 2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keepLines/>
        <w:jc w:val="center"/>
      </w:pPr>
      <w:r>
        <w:rPr>
          <w:b/>
          <w:color w:val="404040"/>
        </w:rPr>
        <w:t>Screen labeled "Step 3: Protect" reading "Protect the periwound. Prevent the wound from increasing in size," with a highlighted periwound area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22" name="Picture 2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Screen displaying Cardinal Health logo, website URL (cardinalhealth.com/skinandwound), and copyright information</w:t>
      </w:r>
    </w:p>
    <w:p>
      <w:pPr/>
      <w:r>
        <w:br w:type="page"/>
      </w:r>
    </w:p>
    <w:sectPr w:rsidR="00FC693F" w:rsidRPr="0006063C" w:rsidSect="00034616">
      <w:headerReference w:type="default" r:id="rId18"/>
      <w:footerReference w:type="default" r:id="rId19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</w:pPr>
    <w:r>
      <w:t>Generated with docsie.io</w:t>
    </w:r>
  </w:p>
  <w:p>
    <w:pPr>
      <w:jc w:val="right"/>
    </w:pPr>
    <w:r>
      <w:fldChar w:fldCharType="begin"/>
      <w:instrText xml:space="preserve">PAGE</w:instrText>
      <w:fldChar w:fldCharType="end"/>
    </w:r>
    <w:r>
      <w:t xml:space="preserve"> / </w:t>
    </w:r>
    <w:r>
      <w:fldChar w:fldCharType="begin"/>
      <w:instrText xml:space="preserve">NUMPAGES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Inter" w:hAnsi="Inter" w:eastAsia="Noto Sans CJK JP" w:cs="Noto Sans CJK JP"/>
      <w:color w:val="40404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b/>
      <w:bCs/>
      <w:color w:val="404040"/>
      <w:sz w:val="28"/>
      <w:szCs w:val="28"/>
      <w:rFonts w:ascii="Inter" w:hAnsi="Inter" w:eastAsia="Noto Sans CJK JP" w:cs="Noto Sans CJK JP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color w:val="404040"/>
      <w:spacing w:val="5"/>
      <w:kern w:val="28"/>
      <w:sz w:val="52"/>
      <w:szCs w:val="52"/>
      <w:rFonts w:ascii="Inter" w:hAnsi="Inter" w:eastAsia="Noto Sans CJK JP" w:cs="Noto Sans CJK JP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  <w:rPr>
      <w:rFonts w:ascii="Inter" w:hAnsi="Inter" w:eastAsia="Noto Sans CJK JP" w:cs="Noto Sans CJK JP"/>
      <w:color w:val="404040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04040"/>
      <w:sz w:val="20"/>
      <w:szCs w:val="18"/>
      <w:rFonts w:ascii="Inter" w:hAnsi="Inter" w:eastAsia="Noto Sans CJK JP" w:cs="Noto Sans CJK JP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jpg"/><Relationship Id="rId10" Type="http://schemas.openxmlformats.org/officeDocument/2006/relationships/image" Target="media/image2.jpg"/><Relationship Id="rId11" Type="http://schemas.openxmlformats.org/officeDocument/2006/relationships/image" Target="media/image3.jpg"/><Relationship Id="rId12" Type="http://schemas.openxmlformats.org/officeDocument/2006/relationships/image" Target="media/image4.jpg"/><Relationship Id="rId13" Type="http://schemas.openxmlformats.org/officeDocument/2006/relationships/image" Target="media/image5.jpg"/><Relationship Id="rId14" Type="http://schemas.openxmlformats.org/officeDocument/2006/relationships/image" Target="media/image6.jpg"/><Relationship Id="rId15" Type="http://schemas.openxmlformats.org/officeDocument/2006/relationships/image" Target="media/image7.jpg"/><Relationship Id="rId16" Type="http://schemas.openxmlformats.org/officeDocument/2006/relationships/image" Target="media/image8.jpg"/><Relationship Id="rId17" Type="http://schemas.openxmlformats.org/officeDocument/2006/relationships/image" Target="media/image9.jpg"/><Relationship Id="rId18" Type="http://schemas.openxmlformats.org/officeDocument/2006/relationships/header" Target="header1.xml"/><Relationship Id="rId1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