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keepNext/>
        <w:keepLines/>
        <w:outlineLvl w:val="0"/>
      </w:pPr>
      <w:r>
        <w:rPr>
          <w:b/>
          <w:color w:val="404040"/>
          <w:sz w:val="44"/>
          <w:rFonts w:ascii="Inter" w:hAnsi="Inter" w:eastAsia="Noto Sans CJK JP" w:cs="Noto Sans CJK JP"/>
        </w:rPr>
        <w:t>How to Calculate an IV Drip Rate: Clinical Protocol Document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 presenter stands beside a slide titled "Macrodrip and Microdrip," showing two drip chambers: one labeled 10 gtt/mL for adults and one labeled 60 gtt/mL for pediatric patients.</w:t>
      </w:r>
    </w:p>
    <w:p>
      <w:pPr>
        <w:keepNext/>
        <w:keepLines/>
      </w:pP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br/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br/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6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9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0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End-of-lesson screen with instructor smiling, text encouraging the viewer to continue the course or check out a YouTube playlist.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Study Synopsis</w:t>
      </w:r>
    </w:p>
    <w:tbl>
      <w:tblPr>
        <w:tblW w:w="8640" w:type="dxa"/>
        <w:tblStyle w:val="TableGrid"/>
        <w:tblLook w:firstColumn="1" w:firstRow="1" w:lastColumn="0" w:lastRow="0" w:noHBand="0" w:noVBand="1" w:val="04A0"/>
        <w:jc w:val="center"/>
        <w:tblLayout w:type="fixed"/>
      </w:tblPr>
      <w:tblGrid>
        <w:gridCol w:w="4320"/>
        <w:gridCol w:w="4320"/>
      </w:tblGrid>
      <w:tr>
        <w:trPr>
          <w:cantSplit/>
        </w:trPr>
        <w:tc>
          <w:tcPr>
            <w:tcW w:w="432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</w:p>
        </w:tc>
        <w:tc>
          <w:tcPr>
            <w:tcW w:w="432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</w:p>
        </w:tc>
      </w:tr>
      <w:tr>
        <w:trPr>
          <w:cantSplit/>
        </w:trPr>
        <w:tc>
          <w:tcPr>
            <w:tcW w:w="432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</w:p>
        </w:tc>
        <w:tc>
          <w:tcPr>
            <w:tcW w:w="432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w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V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</w:p>
        </w:tc>
      </w:tr>
      <w:tr>
        <w:trPr>
          <w:cantSplit/>
        </w:trPr>
        <w:tc>
          <w:tcPr>
            <w:tcW w:w="432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/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V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</w:p>
        </w:tc>
        <w:tc>
          <w:tcPr>
            <w:tcW w:w="432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V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-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-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-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0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0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1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/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V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1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.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0</w:t>
            </w:r>
          </w:p>
        </w:tc>
      </w:tr>
      <w:tr>
        <w:trPr>
          <w:cantSplit/>
        </w:trPr>
        <w:tc>
          <w:tcPr>
            <w:tcW w:w="432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</w:p>
        </w:tc>
        <w:tc>
          <w:tcPr>
            <w:tcW w:w="432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—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.</w:t>
            </w:r>
          </w:p>
        </w:tc>
      </w:tr>
      <w:tr>
        <w:trPr>
          <w:cantSplit/>
        </w:trPr>
        <w:tc>
          <w:tcPr>
            <w:tcW w:w="432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</w:p>
        </w:tc>
        <w:tc>
          <w:tcPr>
            <w:tcW w:w="432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—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,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.</w:t>
            </w:r>
          </w:p>
        </w:tc>
      </w:tr>
      <w:tr>
        <w:trPr>
          <w:cantSplit/>
        </w:trPr>
        <w:tc>
          <w:tcPr>
            <w:tcW w:w="432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</w:p>
        </w:tc>
        <w:tc>
          <w:tcPr>
            <w:tcW w:w="432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v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(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V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)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y</w:t>
            </w:r>
          </w:p>
        </w:tc>
      </w:tr>
      <w:tr>
        <w:trPr>
          <w:cantSplit/>
        </w:trPr>
        <w:tc>
          <w:tcPr>
            <w:tcW w:w="432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y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</w:p>
        </w:tc>
        <w:tc>
          <w:tcPr>
            <w:tcW w:w="432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v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V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(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1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0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,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1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5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,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2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0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/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)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-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v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V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(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6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0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/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)</w:t>
            </w:r>
          </w:p>
        </w:tc>
      </w:tr>
      <w:tr>
        <w:trPr>
          <w:cantSplit/>
        </w:trPr>
        <w:tc>
          <w:tcPr>
            <w:tcW w:w="432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y</w:t>
            </w:r>
          </w:p>
        </w:tc>
        <w:tc>
          <w:tcPr>
            <w:tcW w:w="432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j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V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k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,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-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k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v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'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w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</w:p>
        </w:tc>
      </w:tr>
      <w:tr>
        <w:trPr>
          <w:cantSplit/>
        </w:trPr>
        <w:tc>
          <w:tcPr>
            <w:tcW w:w="432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y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</w:p>
        </w:tc>
        <w:tc>
          <w:tcPr>
            <w:tcW w:w="432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v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y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V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(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/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)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,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</w:p>
        </w:tc>
      </w:tr>
      <w:tr>
        <w:trPr>
          <w:cantSplit/>
        </w:trPr>
        <w:tc>
          <w:tcPr>
            <w:tcW w:w="432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</w:p>
        </w:tc>
        <w:tc>
          <w:tcPr>
            <w:tcW w:w="432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V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,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y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: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,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x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8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-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,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v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(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.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.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,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2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,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0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0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0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)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</w:p>
        </w:tc>
      </w:tr>
    </w:tbl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 presenter stands beside a slide titled "IV Tubing Calibration," showing an IV bag illustration with a hospital building in the background and the text explaining that drop size is regulated by the tubing set in use.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Background &amp; Rationale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 close-up of a slide summarizing that drop size is set by the tubing, that the gtt/mL drip rate is printed on the package, and that most hospitals stock more than one tubing size.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/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Study Design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5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/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6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/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 presenter stands beside a slide noting that most hospitals will have more than one size of infusion tubing available.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/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;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 presenter demonstrates adjusting the roller clamp with a hand gesture, with the macrodrip and microdrip slide visible behind her.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A presenter counts on her fingers while standing next to the Macrodrip and Microdrip slide, demonstrating how to count drops against the drip rate.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A presenter gestures with both hands to explain how clamp tightness or looseness controls the IV drip rate.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 presenter makes a downward hand motion to illustrate the effect of fully loosening the roller clamp.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Eligibility Criteria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/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—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</w:p>
    <w:p>
      <w:pPr/>
      <w:r>
        <w:br/>
      </w:r>
    </w:p>
    <w:p>
      <w:pPr>
        <w:pStyle w:val="ListNumber2"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Number2"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5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/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Number2"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/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x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/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—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</w:p>
    <w:p>
      <w:pPr/>
      <w:r>
        <w:br/>
      </w:r>
    </w:p>
    <w:p>
      <w:pPr>
        <w:pStyle w:val="ListNumber2"/>
      </w:pP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Number2"/>
      </w:pP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Number2"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6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/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6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/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5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/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6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/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A presenter gestures to emphasize the distinction between macrodrip and microdrip tubing on a slide showing both drip chambers and their drop factors.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A close-up of a slide showing the macrodrip chamber labeled 10 gtt/mL and the microdrip chamber labeled 60 gtt/mL, with explanatory text on their drop factors and uses.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A presenter stands in front of a slide showing both macrodrip and microdrip chambers with usage notes for each.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3" name="Picture 1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 presenter stands in front of the slide, noting that training scenarios typically do not use the 60 gtt/mL microdrip set, with both chambers visible on the slide.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Study Endpoints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9</w:t>
      </w:r>
      <w:r>
        <w:rPr>
          <w:color w:val="404040"/>
          <w:sz w:val="24"/>
          <w:rFonts w:ascii="Inter" w:hAnsi="Inter" w:eastAsia="Noto Sans CJK JP" w:cs="Noto Sans CJK JP"/>
        </w:rPr>
        <w:t>%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5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/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5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4" name="Picture 1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 close-up of the macrodrip chamber labeled 10 gtt/mL, with text explaining that 10 drops on this tubing correspond to 1 mL of fluid.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Schedule of Assessments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tbl>
      <w:tblPr>
        <w:tblW w:w="8640" w:type="dxa"/>
        <w:tblStyle w:val="TableGrid"/>
        <w:tblLook w:firstColumn="1" w:firstRow="1" w:lastColumn="0" w:lastRow="0" w:noHBand="0" w:noVBand="1" w:val="04A0"/>
        <w:jc w:val="center"/>
        <w:tblLayout w:type="fixed"/>
      </w:tblPr>
      <w:tblGrid>
        <w:gridCol w:w="2880"/>
        <w:gridCol w:w="2880"/>
        <w:gridCol w:w="2880"/>
      </w:tblGrid>
      <w:tr>
        <w:trPr>
          <w:cantSplit/>
        </w:trPr>
        <w:tc>
          <w:tcPr>
            <w:tcW w:w="288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</w:p>
        </w:tc>
        <w:tc>
          <w:tcPr>
            <w:tcW w:w="288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q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</w:p>
        </w:tc>
        <w:tc>
          <w:tcPr>
            <w:tcW w:w="288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W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w</w:t>
            </w:r>
          </w:p>
        </w:tc>
      </w:tr>
      <w:tr>
        <w:trPr>
          <w:cantSplit/>
        </w:trPr>
        <w:tc>
          <w:tcPr>
            <w:tcW w:w="288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y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(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.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.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,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"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0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.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9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%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1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2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5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/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"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)</w:t>
            </w:r>
          </w:p>
        </w:tc>
        <w:tc>
          <w:tcPr>
            <w:tcW w:w="288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,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,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.</w:t>
            </w:r>
          </w:p>
        </w:tc>
        <w:tc>
          <w:tcPr>
            <w:tcW w:w="288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v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;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v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.</w:t>
            </w:r>
          </w:p>
        </w:tc>
      </w:tr>
      <w:tr>
        <w:trPr>
          <w:cantSplit/>
        </w:trPr>
        <w:tc>
          <w:tcPr>
            <w:tcW w:w="288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w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x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(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.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.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,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"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1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2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5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/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8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"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)</w:t>
            </w:r>
          </w:p>
        </w:tc>
        <w:tc>
          <w:tcPr>
            <w:tcW w:w="288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v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(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×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)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.</w:t>
            </w:r>
          </w:p>
        </w:tc>
        <w:tc>
          <w:tcPr>
            <w:tcW w:w="288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.</w:t>
            </w:r>
          </w:p>
        </w:tc>
      </w:tr>
      <w:tr>
        <w:trPr>
          <w:cantSplit/>
        </w:trPr>
        <w:tc>
          <w:tcPr>
            <w:tcW w:w="288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w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v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(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.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.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,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"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2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,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0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0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0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"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)</w:t>
            </w:r>
          </w:p>
        </w:tc>
        <w:tc>
          <w:tcPr>
            <w:tcW w:w="288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v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v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.</w:t>
            </w:r>
          </w:p>
        </w:tc>
        <w:tc>
          <w:tcPr>
            <w:tcW w:w="288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v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.</w:t>
            </w:r>
          </w:p>
        </w:tc>
      </w:tr>
    </w:tbl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5" name="Picture 1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A presenter stands in front of a slide titled "IV Fluid Prescription Examples," listing three example orders with different rate, duration, and total-volume specifications.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6" name="Picture 1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 close-up of a slide showing the first example order, "0.9% normal saline at 125 mL/h," with background text noting that most IV prescriptions are written as an hourly rate.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9</w:t>
      </w:r>
      <w:r>
        <w:rPr>
          <w:color w:val="404040"/>
          <w:sz w:val="24"/>
          <w:rFonts w:ascii="Inter" w:hAnsi="Inter" w:eastAsia="Noto Sans CJK JP" w:cs="Noto Sans CJK JP"/>
        </w:rPr>
        <w:t>%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5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/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8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5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/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×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8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=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8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7" name="Picture 1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A presenter stands in front of a slide emphasizing that the first example order does not specify a time limit or total volume.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8" name="Picture 1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A slide highlighting the second example order, with the presenter explaining the calculation and the importance of stopping the infusion after the specified time.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9" name="Picture 1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A slide continuing to display the second example order, reinforcing the total-volume calculation for a time-limited infusion.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0" name="Picture 2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 slide displaying all three example orders, with the third order — for a total of 2,000 mL — visible but not yet discussed in detail.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Statistical Considerations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;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1" name="Picture 2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 slide showing three IV fluid prescription examples: rate only, rate with 8-hour duration, and rate with a total volume of 2,000 mL, alongside an IV bag graphic and a note about hourly rates.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;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2" name="Picture 2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An instructor stands next to the slide with the three IV fluid prescription examples, emphasizing the different formats an order may take.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Safety Reporting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;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9</w:t>
      </w:r>
      <w:r>
        <w:rPr>
          <w:color w:val="404040"/>
          <w:sz w:val="24"/>
          <w:rFonts w:ascii="Inter" w:hAnsi="Inter" w:eastAsia="Noto Sans CJK JP" w:cs="Noto Sans CJK JP"/>
        </w:rPr>
        <w:t>%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5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/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5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/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8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8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5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/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3" name="Picture 2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A presenter stands in front of the Macrodrip and Microdrip slide, gesturing to emphasize how the roller clamp controls drip rate.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4" name="Picture 2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An instructor explains the first IV prescription format, with the slide visible in the background.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5" name="Picture 2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An instructor explains the second IV prescription format, with the slide visible in the background.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6" name="Picture 2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An instructor explains the third IV prescription format, with the slide visible in the background.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7" name="Picture 2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Instructor standing and smiling, with the end-of-lesson message still visible.</w:t>
      </w:r>
    </w:p>
    <w:p>
      <w:pPr/>
      <w:r>
        <w:br w:type="page"/>
      </w:r>
    </w:p>
    <w:sectPr w:rsidR="00FC693F" w:rsidRPr="0006063C" w:rsidSect="00034616">
      <w:headerReference w:type="default" r:id="rId30"/>
      <w:footerReference w:type="default" r:id="rId31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left"/>
    </w:pPr>
    <w:r>
      <w:t>Generated with docsie.io</w:t>
    </w:r>
  </w:p>
  <w:p>
    <w:pPr>
      <w:jc w:val="right"/>
    </w:pPr>
    <w:r>
      <w:fldChar w:fldCharType="begin"/>
      <w:instrText xml:space="preserve">PAGE</w:instrText>
      <w:fldChar w:fldCharType="end"/>
    </w:r>
    <w:r>
      <w:t xml:space="preserve"> / </w:t>
    </w:r>
    <w:r>
      <w:fldChar w:fldCharType="begin"/>
      <w:instrText xml:space="preserve">NUMPAGES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Inter" w:hAnsi="Inter" w:eastAsia="Noto Sans CJK JP" w:cs="Noto Sans CJK JP"/>
      <w:color w:val="40404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b/>
      <w:bCs/>
      <w:color w:val="404040"/>
      <w:sz w:val="28"/>
      <w:szCs w:val="28"/>
      <w:rFonts w:ascii="Inter" w:hAnsi="Inter" w:eastAsia="Noto Sans CJK JP" w:cs="Noto Sans CJK JP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color w:val="404040"/>
      <w:spacing w:val="5"/>
      <w:kern w:val="28"/>
      <w:sz w:val="52"/>
      <w:szCs w:val="52"/>
      <w:rFonts w:ascii="Inter" w:hAnsi="Inter" w:eastAsia="Noto Sans CJK JP" w:cs="Noto Sans CJK JP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  <w:rPr>
      <w:rFonts w:ascii="Inter" w:hAnsi="Inter" w:eastAsia="Noto Sans CJK JP" w:cs="Noto Sans CJK JP"/>
      <w:color w:val="404040"/>
    </w:r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04040"/>
      <w:sz w:val="20"/>
      <w:szCs w:val="18"/>
      <w:rFonts w:ascii="Inter" w:hAnsi="Inter" w:eastAsia="Noto Sans CJK JP" w:cs="Noto Sans CJK JP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Relationship Id="rId10" Type="http://schemas.openxmlformats.org/officeDocument/2006/relationships/image" Target="media/image2.jpg"/><Relationship Id="rId11" Type="http://schemas.openxmlformats.org/officeDocument/2006/relationships/image" Target="media/image3.jpg"/><Relationship Id="rId12" Type="http://schemas.openxmlformats.org/officeDocument/2006/relationships/image" Target="media/image4.jpg"/><Relationship Id="rId13" Type="http://schemas.openxmlformats.org/officeDocument/2006/relationships/image" Target="media/image5.jpg"/><Relationship Id="rId14" Type="http://schemas.openxmlformats.org/officeDocument/2006/relationships/image" Target="media/image6.jpg"/><Relationship Id="rId15" Type="http://schemas.openxmlformats.org/officeDocument/2006/relationships/image" Target="media/image7.jpg"/><Relationship Id="rId16" Type="http://schemas.openxmlformats.org/officeDocument/2006/relationships/image" Target="media/image8.jpg"/><Relationship Id="rId17" Type="http://schemas.openxmlformats.org/officeDocument/2006/relationships/image" Target="media/image9.jpg"/><Relationship Id="rId18" Type="http://schemas.openxmlformats.org/officeDocument/2006/relationships/image" Target="media/image10.jpg"/><Relationship Id="rId19" Type="http://schemas.openxmlformats.org/officeDocument/2006/relationships/image" Target="media/image11.jpg"/><Relationship Id="rId20" Type="http://schemas.openxmlformats.org/officeDocument/2006/relationships/image" Target="media/image12.jpg"/><Relationship Id="rId21" Type="http://schemas.openxmlformats.org/officeDocument/2006/relationships/image" Target="media/image13.jpg"/><Relationship Id="rId22" Type="http://schemas.openxmlformats.org/officeDocument/2006/relationships/image" Target="media/image14.jpg"/><Relationship Id="rId23" Type="http://schemas.openxmlformats.org/officeDocument/2006/relationships/image" Target="media/image15.jpg"/><Relationship Id="rId24" Type="http://schemas.openxmlformats.org/officeDocument/2006/relationships/image" Target="media/image16.jpg"/><Relationship Id="rId25" Type="http://schemas.openxmlformats.org/officeDocument/2006/relationships/image" Target="media/image17.jpg"/><Relationship Id="rId26" Type="http://schemas.openxmlformats.org/officeDocument/2006/relationships/image" Target="media/image18.jpg"/><Relationship Id="rId27" Type="http://schemas.openxmlformats.org/officeDocument/2006/relationships/image" Target="media/image19.jpg"/><Relationship Id="rId28" Type="http://schemas.openxmlformats.org/officeDocument/2006/relationships/image" Target="media/image20.jpg"/><Relationship Id="rId29" Type="http://schemas.openxmlformats.org/officeDocument/2006/relationships/image" Target="media/image21.jpg"/><Relationship Id="rId30" Type="http://schemas.openxmlformats.org/officeDocument/2006/relationships/header" Target="header1.xml"/><Relationship Id="rId31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