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Generic Inquiry in Acumatica</w:t>
      </w:r>
    </w:p>
    <w:p>
      <w:pPr/>
      <w:r>
        <w:rPr>
          <w:color w:val="404040"/>
          <w:sz w:val="24"/>
          <w:rFonts w:ascii="Inter" w:hAnsi="Inter" w:eastAsia="Noto Sans CJK JP" w:cs="Noto Sans CJK JP"/>
        </w:rPr>
        <w:t>Generic Inquiries (GIs) let you build custom reports by pulling data directly from Acumatica's underlying tables. This guide walks you through how to create a generic inquiry in Acumatica, from opening the Generic Inquiry screen to identifying the correct data tables and adding them as a data source, using a sales order report as a working example.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must be logged in to Acumatica.</w:t>
      </w:r>
    </w:p>
    <w:p>
      <w:pPr>
        <w:pStyle w:val="ListBullet2"/>
      </w:pPr>
      <w:r>
        <w:rPr>
          <w:color w:val="404040"/>
          <w:sz w:val="24"/>
          <w:rFonts w:ascii="Inter" w:hAnsi="Inter" w:eastAsia="Noto Sans CJK JP" w:cs="Noto Sans CJK JP"/>
        </w:rPr>
        <w:t xml:space="preserve">You should have access to the </w:t>
      </w:r>
      <w:r>
        <w:rPr>
          <w:b/>
          <w:color w:val="404040"/>
          <w:sz w:val="24"/>
          <w:rFonts w:ascii="Inter" w:hAnsi="Inter" w:eastAsia="Noto Sans CJK JP" w:cs="Noto Sans CJK JP"/>
        </w:rPr>
        <w:t>Customization</w:t>
      </w:r>
      <w:r>
        <w:rPr>
          <w:color w:val="404040"/>
          <w:sz w:val="24"/>
          <w:rFonts w:ascii="Inter" w:hAnsi="Inter" w:eastAsia="Noto Sans CJK JP" w:cs="Noto Sans CJK JP"/>
        </w:rPr>
        <w:t xml:space="preserve"> workspace or the global search bar.</w:t>
      </w:r>
    </w:p>
    <w:p>
      <w:pPr>
        <w:pStyle w:val="ListBullet2"/>
      </w:pPr>
      <w:r>
        <w:rPr>
          <w:color w:val="404040"/>
          <w:sz w:val="24"/>
          <w:rFonts w:ascii="Inter" w:hAnsi="Inter" w:eastAsia="Noto Sans CJK JP" w:cs="Noto Sans CJK JP"/>
        </w:rPr>
        <w:t xml:space="preserve">Familiarity with the </w:t>
      </w:r>
      <w:r>
        <w:rPr>
          <w:b/>
          <w:color w:val="404040"/>
          <w:sz w:val="24"/>
          <w:rFonts w:ascii="Inter" w:hAnsi="Inter" w:eastAsia="Noto Sans CJK JP" w:cs="Noto Sans CJK JP"/>
        </w:rPr>
        <w:t>Sales Order Entry</w:t>
      </w:r>
      <w:r>
        <w:rPr>
          <w:color w:val="404040"/>
          <w:sz w:val="24"/>
          <w:rFonts w:ascii="Inter" w:hAnsi="Inter" w:eastAsia="Noto Sans CJK JP" w:cs="Noto Sans CJK JP"/>
        </w:rPr>
        <w:t xml:space="preserve"> form is helpful for identifying field tables.</w:t>
      </w:r>
    </w:p>
    <w:p>
      <w:pPr>
        <w:pStyle w:val="Heading2"/>
        <w:keepNext/>
        <w:keepLines/>
        <w:ind w:left="0"/>
        <w:outlineLvl w:val="1"/>
      </w:pPr>
      <w:r>
        <w:rPr>
          <w:b/>
          <w:color w:val="404040"/>
          <w:sz w:val="32"/>
          <w:rFonts w:ascii="Inter" w:hAnsi="Inter" w:eastAsia="Noto Sans CJK JP" w:cs="Noto Sans CJK JP"/>
        </w:rPr>
        <w:t>Step 1: Navigate to the Generic Inquiry screen</w:t>
      </w:r>
    </w:p>
    <w:p>
      <w:pPr/>
      <w:r>
        <w:rPr>
          <w:color w:val="404040"/>
          <w:sz w:val="24"/>
          <w:rFonts w:ascii="Inter" w:hAnsi="Inter" w:eastAsia="Noto Sans CJK JP" w:cs="Noto Sans CJK JP"/>
        </w:rPr>
        <w:t>Open Acumatica and confirm you're logged in. You can reach the Generic Inquiry screen in one of two ways:</w:t>
      </w:r>
    </w:p>
    <w:p>
      <w:pPr>
        <w:pStyle w:val="ListBullet2"/>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Customization</w:t>
      </w:r>
      <w:r>
        <w:rPr>
          <w:color w:val="404040"/>
          <w:sz w:val="24"/>
          <w:rFonts w:ascii="Inter" w:hAnsi="Inter" w:eastAsia="Noto Sans CJK JP" w:cs="Noto Sans CJK JP"/>
        </w:rPr>
        <w:t xml:space="preserve"> workspace and select </w:t>
      </w:r>
      <w:r>
        <w:rPr>
          <w:b/>
          <w:color w:val="404040"/>
          <w:sz w:val="24"/>
          <w:rFonts w:ascii="Inter" w:hAnsi="Inter" w:eastAsia="Noto Sans CJK JP" w:cs="Noto Sans CJK JP"/>
        </w:rPr>
        <w:t>More Items</w:t>
      </w:r>
      <w:r>
        <w:rPr>
          <w:color w:val="404040"/>
          <w:sz w:val="24"/>
          <w:rFonts w:ascii="Inter" w:hAnsi="Inter" w:eastAsia="Noto Sans CJK JP" w:cs="Noto Sans CJK JP"/>
        </w:rPr>
        <w:t xml:space="preserve"> to find the </w:t>
      </w:r>
      <w:r>
        <w:rPr>
          <w:b/>
          <w:color w:val="404040"/>
          <w:sz w:val="24"/>
          <w:rFonts w:ascii="Inter" w:hAnsi="Inter" w:eastAsia="Noto Sans CJK JP" w:cs="Noto Sans CJK JP"/>
        </w:rPr>
        <w:t>Generic Inquiry</w:t>
      </w:r>
      <w:r>
        <w:rPr>
          <w:color w:val="404040"/>
          <w:sz w:val="24"/>
          <w:rFonts w:ascii="Inter" w:hAnsi="Inter" w:eastAsia="Noto Sans CJK JP" w:cs="Noto Sans CJK JP"/>
        </w:rPr>
        <w:t xml:space="preserve"> option.</w:t>
      </w:r>
    </w:p>
    <w:p>
      <w:pPr>
        <w:pStyle w:val="ListBullet2"/>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global search bar</w:t>
      </w:r>
      <w:r>
        <w:rPr>
          <w:color w:val="404040"/>
          <w:sz w:val="24"/>
          <w:rFonts w:ascii="Inter" w:hAnsi="Inter" w:eastAsia="Noto Sans CJK JP" w:cs="Noto Sans CJK JP"/>
        </w:rPr>
        <w:t xml:space="preserve"> at the top of the screen and type "Generic Inquiry" to locate it quickly.</w:t>
      </w:r>
    </w:p>
    <w:p>
      <w:pPr>
        <w:keepNext/>
        <w:keepLines/>
      </w:pPr>
      <w:r>
        <w:rPr>
          <w:color w:val="404040"/>
          <w:sz w:val="24"/>
          <w:rFonts w:ascii="Inter" w:hAnsi="Inter" w:eastAsia="Noto Sans CJK JP" w:cs="Noto Sans CJK JP"/>
        </w:rPr>
        <w:t xml:space="preserve">The Generic Inquiry screen displays a structured grid with tabs including </w:t>
      </w:r>
      <w:r>
        <w:rPr>
          <w:b/>
          <w:color w:val="404040"/>
          <w:sz w:val="24"/>
          <w:rFonts w:ascii="Inter" w:hAnsi="Inter" w:eastAsia="Noto Sans CJK JP" w:cs="Noto Sans CJK JP"/>
        </w:rPr>
        <w:t>Data Sources</w:t>
      </w:r>
      <w:r>
        <w:rPr>
          <w:color w:val="404040"/>
          <w:sz w:val="24"/>
          <w:rFonts w:ascii="Inter" w:hAnsi="Inter" w:eastAsia="Noto Sans CJK JP" w:cs="Noto Sans CJK JP"/>
        </w:rPr>
        <w:t xml:space="preserve">, </w:t>
      </w:r>
      <w:r>
        <w:rPr>
          <w:b/>
          <w:color w:val="404040"/>
          <w:sz w:val="24"/>
          <w:rFonts w:ascii="Inter" w:hAnsi="Inter" w:eastAsia="Noto Sans CJK JP" w:cs="Noto Sans CJK JP"/>
        </w:rPr>
        <w:t>Relations</w:t>
      </w:r>
      <w:r>
        <w:rPr>
          <w:color w:val="404040"/>
          <w:sz w:val="24"/>
          <w:rFonts w:ascii="Inter" w:hAnsi="Inter" w:eastAsia="Noto Sans CJK JP" w:cs="Noto Sans CJK JP"/>
        </w:rPr>
        <w:t xml:space="preserve">, </w:t>
      </w:r>
      <w:r>
        <w:rPr>
          <w:b/>
          <w:color w:val="404040"/>
          <w:sz w:val="24"/>
          <w:rFonts w:ascii="Inter" w:hAnsi="Inter" w:eastAsia="Noto Sans CJK JP" w:cs="Noto Sans CJK JP"/>
        </w:rPr>
        <w:t>Parameters</w:t>
      </w:r>
      <w:r>
        <w:rPr>
          <w:color w:val="404040"/>
          <w:sz w:val="24"/>
          <w:rFonts w:ascii="Inter" w:hAnsi="Inter" w:eastAsia="Noto Sans CJK JP" w:cs="Noto Sans CJK JP"/>
        </w:rPr>
        <w:t xml:space="preserve">, </w:t>
      </w:r>
      <w:r>
        <w:rPr>
          <w:b/>
          <w:color w:val="404040"/>
          <w:sz w:val="24"/>
          <w:rFonts w:ascii="Inter" w:hAnsi="Inter" w:eastAsia="Noto Sans CJK JP" w:cs="Noto Sans CJK JP"/>
        </w:rPr>
        <w:t>Conditions</w:t>
      </w:r>
      <w:r>
        <w:rPr>
          <w:color w:val="404040"/>
          <w:sz w:val="24"/>
          <w:rFonts w:ascii="Inter" w:hAnsi="Inter" w:eastAsia="Noto Sans CJK JP" w:cs="Noto Sans CJK JP"/>
        </w:rPr>
        <w:t xml:space="preserve">, </w:t>
      </w:r>
      <w:r>
        <w:rPr>
          <w:b/>
          <w:color w:val="404040"/>
          <w:sz w:val="24"/>
          <w:rFonts w:ascii="Inter" w:hAnsi="Inter" w:eastAsia="Noto Sans CJK JP" w:cs="Noto Sans CJK JP"/>
        </w:rPr>
        <w:t>Grouping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Sort Order</w:t>
      </w:r>
      <w:r>
        <w:rPr>
          <w:color w:val="404040"/>
          <w:sz w:val="24"/>
          <w:rFonts w:ascii="Inter" w:hAnsi="Inter" w:eastAsia="Noto Sans CJK JP" w:cs="Noto Sans CJK JP"/>
        </w:rPr>
        <w:t xml:space="preserve">, </w:t>
      </w:r>
      <w:r>
        <w:rPr>
          <w:b/>
          <w:color w:val="404040"/>
          <w:sz w:val="24"/>
          <w:rFonts w:ascii="Inter" w:hAnsi="Inter" w:eastAsia="Noto Sans CJK JP" w:cs="Noto Sans CJK JP"/>
        </w:rPr>
        <w:t>Results Grid</w:t>
      </w:r>
      <w:r>
        <w:rPr>
          <w:color w:val="404040"/>
          <w:sz w:val="24"/>
          <w:rFonts w:ascii="Inter" w:hAnsi="Inter" w:eastAsia="Noto Sans CJK JP" w:cs="Noto Sans CJK JP"/>
        </w:rPr>
        <w:t xml:space="preserve">, </w:t>
      </w:r>
      <w:r>
        <w:rPr>
          <w:b/>
          <w:color w:val="404040"/>
          <w:sz w:val="24"/>
          <w:rFonts w:ascii="Inter" w:hAnsi="Inter" w:eastAsia="Noto Sans CJK JP" w:cs="Noto Sans CJK JP"/>
        </w:rPr>
        <w:t>Entry Point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Navigation</w:t>
      </w:r>
      <w:r>
        <w:rPr>
          <w:color w:val="404040"/>
          <w:sz w:val="24"/>
          <w:rFonts w:ascii="Inter" w:hAnsi="Inter" w:eastAsia="Noto Sans CJK JP" w:cs="Noto Sans CJK JP"/>
        </w:rPr>
        <w:t xml:space="preserve">. The left navigation menu includes modules such as </w:t>
      </w:r>
      <w:r>
        <w:rPr>
          <w:b/>
          <w:color w:val="404040"/>
          <w:sz w:val="24"/>
          <w:rFonts w:ascii="Inter" w:hAnsi="Inter" w:eastAsia="Noto Sans CJK JP" w:cs="Noto Sans CJK JP"/>
        </w:rPr>
        <w:t>Favorites</w:t>
      </w:r>
      <w:r>
        <w:rPr>
          <w:color w:val="404040"/>
          <w:sz w:val="24"/>
          <w:rFonts w:ascii="Inter" w:hAnsi="Inter" w:eastAsia="Noto Sans CJK JP" w:cs="Noto Sans CJK JP"/>
        </w:rPr>
        <w:t xml:space="preserve">, </w:t>
      </w:r>
      <w:r>
        <w:rPr>
          <w:b/>
          <w:color w:val="404040"/>
          <w:sz w:val="24"/>
          <w:rFonts w:ascii="Inter" w:hAnsi="Inter" w:eastAsia="Noto Sans CJK JP" w:cs="Noto Sans CJK JP"/>
        </w:rPr>
        <w:t>Data Views</w:t>
      </w:r>
      <w:r>
        <w:rPr>
          <w:color w:val="404040"/>
          <w:sz w:val="24"/>
          <w:rFonts w:ascii="Inter" w:hAnsi="Inter" w:eastAsia="Noto Sans CJK JP" w:cs="Noto Sans CJK JP"/>
        </w:rPr>
        <w:t xml:space="preserve">, </w:t>
      </w:r>
      <w:r>
        <w:rPr>
          <w:b/>
          <w:color w:val="404040"/>
          <w:sz w:val="24"/>
          <w:rFonts w:ascii="Inter" w:hAnsi="Inter" w:eastAsia="Noto Sans CJK JP" w:cs="Noto Sans CJK JP"/>
        </w:rPr>
        <w:t>Inventory Planning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Time and Expenses</w:t>
      </w:r>
      <w:r>
        <w:rPr>
          <w:color w:val="404040"/>
          <w:sz w:val="24"/>
          <w:rFonts w:ascii="Inter" w:hAnsi="Inter" w:eastAsia="Noto Sans CJK JP" w:cs="Noto Sans CJK JP"/>
        </w:rPr>
        <w:t xml:space="preserve">, </w:t>
      </w:r>
      <w:r>
        <w:rPr>
          <w:b/>
          <w:color w:val="404040"/>
          <w:sz w:val="24"/>
          <w:rFonts w:ascii="Inter" w:hAnsi="Inter" w:eastAsia="Noto Sans CJK JP" w:cs="Noto Sans CJK JP"/>
        </w:rPr>
        <w:t>Finance</w:t>
      </w:r>
      <w:r>
        <w:rPr>
          <w:color w:val="404040"/>
          <w:sz w:val="24"/>
          <w:rFonts w:ascii="Inter" w:hAnsi="Inter" w:eastAsia="Noto Sans CJK JP" w:cs="Noto Sans CJK JP"/>
        </w:rPr>
        <w:t xml:space="preserve">, </w:t>
      </w:r>
      <w:r>
        <w:rPr>
          <w:b/>
          <w:color w:val="404040"/>
          <w:sz w:val="24"/>
          <w:rFonts w:ascii="Inter" w:hAnsi="Inter" w:eastAsia="Noto Sans CJK JP" w:cs="Noto Sans CJK JP"/>
        </w:rPr>
        <w:t>Banking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Payables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Receivables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Sales Orders</w:t>
      </w:r>
      <w:r>
        <w:rPr>
          <w:color w:val="404040"/>
          <w:sz w:val="24"/>
          <w:rFonts w:ascii="Inter" w:hAnsi="Inter" w:eastAsia="Noto Sans CJK JP" w:cs="Noto Sans CJK JP"/>
        </w:rPr>
        <w:t xml:space="preserve">, </w:t>
      </w:r>
      <w:r>
        <w:rPr>
          <w:b/>
          <w:color w:val="404040"/>
          <w:sz w:val="24"/>
          <w:rFonts w:ascii="Inter" w:hAnsi="Inter" w:eastAsia="Noto Sans CJK JP" w:cs="Noto Sans CJK JP"/>
        </w:rPr>
        <w:t>Purchases</w:t>
      </w:r>
      <w:r>
        <w:rPr>
          <w:color w:val="404040"/>
          <w:sz w:val="24"/>
          <w:rFonts w:ascii="Inter" w:hAnsi="Inter" w:eastAsia="Noto Sans CJK JP" w:cs="Noto Sans CJK JP"/>
        </w:rPr>
        <w:t xml:space="preserve">, </w:t>
      </w:r>
      <w:r>
        <w:rPr>
          <w:b/>
          <w:color w:val="404040"/>
          <w:sz w:val="24"/>
          <w:rFonts w:ascii="Inter" w:hAnsi="Inter" w:eastAsia="Noto Sans CJK JP" w:cs="Noto Sans CJK JP"/>
        </w:rPr>
        <w:t>Inventory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More Items</w:t>
      </w:r>
      <w:r>
        <w:rPr>
          <w:color w:val="404040"/>
          <w:sz w:val="24"/>
          <w:rFonts w:ascii="Inter" w:hAnsi="Inter" w:eastAsia="Noto Sans CJK JP" w:cs="Noto Sans CJK JP"/>
        </w:rPr>
        <w:t>. The top bar shows the current company, date/time, user, and quick access to notes, files, customization, and tools.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Generic Inquiry screen showing the navigation menu, search bar, and an empty data source grid</w:t>
      </w:r>
    </w:p>
    <w:p>
      <w:pPr>
        <w:pStyle w:val="Heading2"/>
        <w:keepNext/>
        <w:keepLines/>
        <w:ind w:left="0"/>
        <w:outlineLvl w:val="1"/>
      </w:pPr>
      <w:r>
        <w:rPr>
          <w:b/>
          <w:color w:val="404040"/>
          <w:sz w:val="32"/>
          <w:rFonts w:ascii="Inter" w:hAnsi="Inter" w:eastAsia="Noto Sans CJK JP" w:cs="Noto Sans CJK JP"/>
        </w:rPr>
        <w:t>Step 2: Start a new generic inquiry</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plus (+) button</w:t>
      </w:r>
      <w:r>
        <w:rPr>
          <w:color w:val="404040"/>
          <w:sz w:val="24"/>
          <w:rFonts w:ascii="Inter" w:hAnsi="Inter" w:eastAsia="Noto Sans CJK JP" w:cs="Noto Sans CJK JP"/>
        </w:rPr>
        <w:t xml:space="preserve"> at the top of the Generic Inquiry screen to create a new GI. The </w:t>
      </w:r>
      <w:r>
        <w:rPr>
          <w:b/>
          <w:color w:val="404040"/>
          <w:sz w:val="24"/>
          <w:rFonts w:ascii="Inter" w:hAnsi="Inter" w:eastAsia="Noto Sans CJK JP" w:cs="Noto Sans CJK JP"/>
        </w:rPr>
        <w:t>Inquiry Title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Site Map Title</w:t>
      </w:r>
      <w:r>
        <w:rPr>
          <w:color w:val="404040"/>
          <w:sz w:val="24"/>
          <w:rFonts w:ascii="Inter" w:hAnsi="Inter" w:eastAsia="Noto Sans CJK JP" w:cs="Noto Sans CJK JP"/>
        </w:rPr>
        <w:t xml:space="preserve"> fields become editable, ready for you to configure.</w:t>
      </w:r>
    </w:p>
    <w:p>
      <w:pPr>
        <w:pStyle w:val="Heading2"/>
        <w:keepNext/>
        <w:keepLines/>
        <w:ind w:left="0"/>
        <w:outlineLvl w:val="1"/>
      </w:pPr>
      <w:r>
        <w:rPr>
          <w:b/>
          <w:color w:val="404040"/>
          <w:sz w:val="32"/>
          <w:rFonts w:ascii="Inter" w:hAnsi="Inter" w:eastAsia="Noto Sans CJK JP" w:cs="Noto Sans CJK JP"/>
        </w:rPr>
        <w:t>Step 3: Enter the inquiry title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Inquiry Title</w:t>
      </w:r>
      <w:r>
        <w:rPr>
          <w:color w:val="404040"/>
          <w:sz w:val="24"/>
          <w:rFonts w:ascii="Inter" w:hAnsi="Inter" w:eastAsia="Noto Sans CJK JP" w:cs="Noto Sans CJK JP"/>
        </w:rPr>
        <w:t xml:space="preserve"> field, enter a name for your GI—for example, </w:t>
      </w:r>
      <w:r>
        <w:rPr>
          <w:color w:val="4472C4"/>
          <w:sz w:val="24"/>
          <w:rFonts w:ascii="Times New Roman" w:hAnsi="Times New Roman" w:eastAsia="Noto Sans CJK JP" w:cs="Noto Sans CJK JP"/>
        </w:rPr>
        <w:t>StellarOne-SalesOrder</w:t>
      </w:r>
      <w:r>
        <w:rPr>
          <w:color w:val="404040"/>
          <w:sz w:val="24"/>
          <w:rFonts w:ascii="Inter" w:hAnsi="Inter" w:eastAsia="Noto Sans CJK JP" w:cs="Noto Sans CJK JP"/>
        </w:rPr>
        <w:t xml:space="preserve">. Press </w:t>
      </w:r>
      <w:r>
        <w:rPr>
          <w:b/>
          <w:color w:val="404040"/>
          <w:sz w:val="24"/>
          <w:rFonts w:ascii="Inter" w:hAnsi="Inter" w:eastAsia="Noto Sans CJK JP" w:cs="Noto Sans CJK JP"/>
        </w:rPr>
        <w:t>Tab</w:t>
      </w:r>
      <w:r>
        <w:rPr>
          <w:color w:val="404040"/>
          <w:sz w:val="24"/>
          <w:rFonts w:ascii="Inter" w:hAnsi="Inter" w:eastAsia="Noto Sans CJK JP" w:cs="Noto Sans CJK JP"/>
        </w:rPr>
        <w:t xml:space="preserve"> or click outside the field to save the title.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Inquiry Title field filled in with 'StellarOne-SalesOrder', ready for further configuration</w:t>
      </w:r>
    </w:p>
    <w:p>
      <w:pPr>
        <w:pStyle w:val="Heading2"/>
        <w:keepNext/>
        <w:keepLines/>
        <w:ind w:left="0"/>
        <w:outlineLvl w:val="1"/>
      </w:pPr>
      <w:r>
        <w:rPr>
          <w:b/>
          <w:color w:val="404040"/>
          <w:sz w:val="32"/>
          <w:rFonts w:ascii="Inter" w:hAnsi="Inter" w:eastAsia="Noto Sans CJK JP" w:cs="Noto Sans CJK JP"/>
        </w:rPr>
        <w:t>Step 4: Open the Sales Order Entry form to identify data tables</w:t>
      </w:r>
    </w:p>
    <w:p>
      <w:pPr/>
      <w:r>
        <w:rPr>
          <w:color w:val="404040"/>
          <w:sz w:val="24"/>
          <w:rFonts w:ascii="Inter" w:hAnsi="Inter" w:eastAsia="Noto Sans CJK JP" w:cs="Noto Sans CJK JP"/>
        </w:rPr>
        <w:t xml:space="preserve">Before configuring your GI's data sources, open the </w:t>
      </w:r>
      <w:r>
        <w:rPr>
          <w:b/>
          <w:color w:val="404040"/>
          <w:sz w:val="24"/>
          <w:rFonts w:ascii="Inter" w:hAnsi="Inter" w:eastAsia="Noto Sans CJK JP" w:cs="Noto Sans CJK JP"/>
        </w:rPr>
        <w:t>Sales Order Entry</w:t>
      </w:r>
      <w:r>
        <w:rPr>
          <w:color w:val="404040"/>
          <w:sz w:val="24"/>
          <w:rFonts w:ascii="Inter" w:hAnsi="Inter" w:eastAsia="Noto Sans CJK JP" w:cs="Noto Sans CJK JP"/>
        </w:rPr>
        <w:t xml:space="preserve"> form in a separate tab or window. Keeping this form open helps you identify which tables store the fields you want to include in your report.</w:t>
      </w:r>
    </w:p>
    <w:p>
      <w:pPr/>
      <w:r>
        <w:rPr>
          <w:color w:val="404040"/>
          <w:sz w:val="24"/>
          <w:rFonts w:ascii="Inter" w:hAnsi="Inter" w:eastAsia="Noto Sans CJK JP" w:cs="Noto Sans CJK JP"/>
        </w:rPr>
        <w:t>Note that transaction documents store data across multiple tables:</w:t>
      </w:r>
    </w:p>
    <w:p>
      <w:pPr>
        <w:pStyle w:val="ListBullet2"/>
      </w:pPr>
      <w:r>
        <w:rPr>
          <w:b/>
          <w:color w:val="404040"/>
          <w:sz w:val="24"/>
          <w:rFonts w:ascii="Inter" w:hAnsi="Inter" w:eastAsia="Noto Sans CJK JP" w:cs="Noto Sans CJK JP"/>
        </w:rPr>
        <w:t>Header fields</w:t>
      </w:r>
      <w:r>
        <w:rPr>
          <w:color w:val="404040"/>
          <w:sz w:val="24"/>
          <w:rFonts w:ascii="Inter" w:hAnsi="Inter" w:eastAsia="Noto Sans CJK JP" w:cs="Noto Sans CJK JP"/>
        </w:rPr>
        <w:t xml:space="preserve"> (the gray area at the top of the Sales Order form) are stored in one table and typically include Order Type, Order Number, Status, Date, and Customer.</w:t>
      </w:r>
    </w:p>
    <w:p>
      <w:pPr>
        <w:pStyle w:val="ListBullet2"/>
        <w:keepNext/>
        <w:keepLines/>
      </w:pPr>
      <w:r>
        <w:rPr>
          <w:b/>
          <w:color w:val="404040"/>
          <w:sz w:val="24"/>
          <w:rFonts w:ascii="Inter" w:hAnsi="Inter" w:eastAsia="Noto Sans CJK JP" w:cs="Noto Sans CJK JP"/>
        </w:rPr>
        <w:t>Line-level fields</w:t>
      </w:r>
      <w:r>
        <w:rPr>
          <w:color w:val="404040"/>
          <w:sz w:val="24"/>
          <w:rFonts w:ascii="Inter" w:hAnsi="Inter" w:eastAsia="Noto Sans CJK JP" w:cs="Noto Sans CJK JP"/>
        </w:rPr>
        <w:t xml:space="preserve"> (the grid below) are stored in a separate table and include Branch, Inventory ID, Warehouse, Line Description, UOM, and Quantity.</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Sales Order Entry form open in Acumatica, showing both header and line-level fields</w:t>
      </w:r>
    </w:p>
    <w:p>
      <w:pPr>
        <w:pStyle w:val="Heading2"/>
        <w:keepNext/>
        <w:keepLines/>
        <w:ind w:left="0"/>
        <w:outlineLvl w:val="1"/>
      </w:pPr>
      <w:r>
        <w:rPr>
          <w:b/>
          <w:color w:val="404040"/>
          <w:sz w:val="32"/>
          <w:rFonts w:ascii="Inter" w:hAnsi="Inter" w:eastAsia="Noto Sans CJK JP" w:cs="Noto Sans CJK JP"/>
        </w:rPr>
        <w:t>Step 5: Use Inspect Element to identify field tables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CUSTOMIZATION</w:t>
      </w:r>
      <w:r>
        <w:rPr>
          <w:color w:val="404040"/>
          <w:sz w:val="24"/>
          <w:rFonts w:ascii="Inter" w:hAnsi="Inter" w:eastAsia="Noto Sans CJK JP" w:cs="Noto Sans CJK JP"/>
        </w:rPr>
        <w:t xml:space="preserve"> menu at the top of the Sales Order Entry screen, then select </w:t>
      </w:r>
      <w:r>
        <w:rPr>
          <w:b/>
          <w:color w:val="404040"/>
          <w:sz w:val="24"/>
          <w:rFonts w:ascii="Inter" w:hAnsi="Inter" w:eastAsia="Noto Sans CJK JP" w:cs="Noto Sans CJK JP"/>
        </w:rPr>
        <w:t>Inspect Element</w:t>
      </w:r>
      <w:r>
        <w:rPr>
          <w:color w:val="404040"/>
          <w:sz w:val="24"/>
          <w:rFonts w:ascii="Inter" w:hAnsi="Inter" w:eastAsia="Noto Sans CJK JP" w:cs="Noto Sans CJK JP"/>
        </w:rPr>
        <w:t xml:space="preserve"> from the dropdown. Your cursor changes to a question mark, indicating you can now select a field to inspect.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Sales Order Entry screen with the CUSTOMIZATION menu open and Inspect Element highlighted</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Order Type</w:t>
      </w:r>
      <w:r>
        <w:rPr>
          <w:color w:val="404040"/>
          <w:sz w:val="24"/>
          <w:rFonts w:ascii="Inter" w:hAnsi="Inter" w:eastAsia="Noto Sans CJK JP" w:cs="Noto Sans CJK JP"/>
        </w:rPr>
        <w:t xml:space="preserve"> field in the Sales Order Entry form. The </w:t>
      </w:r>
      <w:r>
        <w:rPr>
          <w:b/>
          <w:color w:val="404040"/>
          <w:sz w:val="24"/>
          <w:rFonts w:ascii="Inter" w:hAnsi="Inter" w:eastAsia="Noto Sans CJK JP" w:cs="Noto Sans CJK JP"/>
        </w:rPr>
        <w:t>Element Properties</w:t>
      </w:r>
      <w:r>
        <w:rPr>
          <w:color w:val="404040"/>
          <w:sz w:val="24"/>
          <w:rFonts w:ascii="Inter" w:hAnsi="Inter" w:eastAsia="Noto Sans CJK JP" w:cs="Noto Sans CJK JP"/>
        </w:rPr>
        <w:t xml:space="preserve"> window displays the following details: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Element Properties window showing Data Class as SOOrder and Data Field as OrderType for the Order Type field in Acumatica</w:t>
      </w:r>
    </w:p>
    <w:p>
      <w:pPr>
        <w:pStyle w:val="ListBullet2"/>
      </w:pPr>
      <w:r>
        <w:rPr>
          <w:b/>
          <w:color w:val="404040"/>
          <w:sz w:val="24"/>
          <w:rFonts w:ascii="Inter" w:hAnsi="Inter" w:eastAsia="Noto Sans CJK JP" w:cs="Noto Sans CJK JP"/>
        </w:rPr>
        <w:t>Data Class:</w:t>
      </w:r>
      <w:r>
        <w:rPr>
          <w:color w:val="404040"/>
          <w:sz w:val="24"/>
          <w:rFonts w:ascii="Inter" w:hAnsi="Inter" w:eastAsia="Noto Sans CJK JP" w:cs="Noto Sans CJK JP"/>
        </w:rPr>
        <w:t xml:space="preserve"> SOOrder</w:t>
      </w:r>
    </w:p>
    <w:p>
      <w:pPr>
        <w:pStyle w:val="ListBullet2"/>
      </w:pPr>
      <w:r>
        <w:rPr>
          <w:b/>
          <w:color w:val="404040"/>
          <w:sz w:val="24"/>
          <w:rFonts w:ascii="Inter" w:hAnsi="Inter" w:eastAsia="Noto Sans CJK JP" w:cs="Noto Sans CJK JP"/>
        </w:rPr>
        <w:t>Data Field:</w:t>
      </w:r>
      <w:r>
        <w:rPr>
          <w:color w:val="404040"/>
          <w:sz w:val="24"/>
          <w:rFonts w:ascii="Inter" w:hAnsi="Inter" w:eastAsia="Noto Sans CJK JP" w:cs="Noto Sans CJK JP"/>
        </w:rPr>
        <w:t xml:space="preserve"> OrderType</w:t>
      </w:r>
    </w:p>
    <w:p>
      <w:pPr>
        <w:pStyle w:val="ListBullet2"/>
      </w:pPr>
      <w:r>
        <w:rPr>
          <w:b/>
          <w:color w:val="404040"/>
          <w:sz w:val="24"/>
          <w:rFonts w:ascii="Inter" w:hAnsi="Inter" w:eastAsia="Noto Sans CJK JP" w:cs="Noto Sans CJK JP"/>
        </w:rPr>
        <w:t>View Name:</w:t>
      </w:r>
      <w:r>
        <w:rPr>
          <w:color w:val="404040"/>
          <w:sz w:val="24"/>
          <w:rFonts w:ascii="Inter" w:hAnsi="Inter" w:eastAsia="Noto Sans CJK JP" w:cs="Noto Sans CJK JP"/>
        </w:rPr>
        <w:t xml:space="preserve"> Document</w:t>
      </w:r>
    </w:p>
    <w:p>
      <w:pPr>
        <w:pStyle w:val="ListBullet2"/>
      </w:pPr>
      <w:r>
        <w:rPr>
          <w:b/>
          <w:color w:val="404040"/>
          <w:sz w:val="24"/>
          <w:rFonts w:ascii="Inter" w:hAnsi="Inter" w:eastAsia="Noto Sans CJK JP" w:cs="Noto Sans CJK JP"/>
        </w:rPr>
        <w:t>Business Logic:</w:t>
      </w:r>
      <w:r>
        <w:rPr>
          <w:color w:val="404040"/>
          <w:sz w:val="24"/>
          <w:rFonts w:ascii="Inter" w:hAnsi="Inter" w:eastAsia="Noto Sans CJK JP" w:cs="Noto Sans CJK JP"/>
        </w:rPr>
        <w:t xml:space="preserve"> SOOrderEntry</w:t>
      </w:r>
    </w:p>
    <w:p>
      <w:pPr/>
      <w:r>
        <w:rPr>
          <w:color w:val="404040"/>
          <w:sz w:val="24"/>
          <w:rFonts w:ascii="Inter" w:hAnsi="Inter" w:eastAsia="Noto Sans CJK JP" w:cs="Noto Sans CJK JP"/>
        </w:rPr>
        <w:t>The data field name for the Order Type field is "OrderType" (sometimes referred to as "document" in the view).</w:t>
      </w:r>
    </w:p>
    <w:p>
      <w:pPr>
        <w:pStyle w:val="Heading2"/>
        <w:keepNext/>
        <w:keepLines/>
        <w:ind w:left="0"/>
        <w:outlineLvl w:val="1"/>
      </w:pPr>
      <w:r>
        <w:rPr>
          <w:b/>
          <w:color w:val="404040"/>
          <w:sz w:val="32"/>
          <w:rFonts w:ascii="Inter" w:hAnsi="Inter" w:eastAsia="Noto Sans CJK JP" w:cs="Noto Sans CJK JP"/>
        </w:rPr>
        <w:t>Step 6: Document the table names</w:t>
      </w:r>
    </w:p>
    <w:p>
      <w:pPr/>
      <w:r>
        <w:rPr>
          <w:color w:val="404040"/>
          <w:sz w:val="24"/>
          <w:rFonts w:ascii="Inter" w:hAnsi="Inter" w:eastAsia="Noto Sans CJK JP" w:cs="Noto Sans CJK JP"/>
        </w:rPr>
        <w:t>Record the table names for both the header-level and line-level fields you plan to use in your GI. You'll use these table names when configuring your Generic Inquiry's data sources and relations.</w:t>
      </w:r>
    </w:p>
    <w:p>
      <w:pPr/>
      <w:r>
        <w:rPr>
          <w:color w:val="404040"/>
          <w:sz w:val="24"/>
          <w:rFonts w:ascii="Inter" w:hAnsi="Inter" w:eastAsia="Noto Sans CJK JP" w:cs="Noto Sans CJK JP"/>
        </w:rPr>
        <w:t>Following these steps lets you accurately identify the correct tables for your Generic Inquiry, ensuring you pull the necessary data from Acumatica's sales order module. This step is essential for building effective and accurate reports.</w:t>
      </w:r>
    </w:p>
    <w:p>
      <w:pPr>
        <w:pStyle w:val="Heading2"/>
        <w:keepNext/>
        <w:keepLines/>
        <w:ind w:left="0"/>
        <w:outlineLvl w:val="1"/>
      </w:pPr>
      <w:r>
        <w:rPr>
          <w:b/>
          <w:color w:val="404040"/>
          <w:sz w:val="32"/>
          <w:rFonts w:ascii="Inter" w:hAnsi="Inter" w:eastAsia="Noto Sans CJK JP" w:cs="Noto Sans CJK JP"/>
        </w:rPr>
        <w:t>Step 7: Add the SOOrder table as a data source</w:t>
      </w:r>
    </w:p>
    <w:p>
      <w:pPr>
        <w:keepNext/>
        <w:keepLines/>
      </w:pPr>
      <w:r>
        <w:rPr>
          <w:color w:val="404040"/>
          <w:sz w:val="24"/>
          <w:rFonts w:ascii="Inter" w:hAnsi="Inter" w:eastAsia="Noto Sans CJK JP" w:cs="Noto Sans CJK JP"/>
        </w:rPr>
        <w:t xml:space="preserve">Navigate back to the </w:t>
      </w:r>
      <w:r>
        <w:rPr>
          <w:b/>
          <w:color w:val="404040"/>
          <w:sz w:val="24"/>
          <w:rFonts w:ascii="Inter" w:hAnsi="Inter" w:eastAsia="Noto Sans CJK JP" w:cs="Noto Sans CJK JP"/>
        </w:rPr>
        <w:t>Generic Inquiry</w:t>
      </w:r>
      <w:r>
        <w:rPr>
          <w:color w:val="404040"/>
          <w:sz w:val="24"/>
          <w:rFonts w:ascii="Inter" w:hAnsi="Inter" w:eastAsia="Noto Sans CJK JP" w:cs="Noto Sans CJK JP"/>
        </w:rPr>
        <w:t xml:space="preserve"> screen and confirm you're on the </w:t>
      </w:r>
      <w:r>
        <w:rPr>
          <w:b/>
          <w:color w:val="404040"/>
          <w:sz w:val="24"/>
          <w:rFonts w:ascii="Inter" w:hAnsi="Inter" w:eastAsia="Noto Sans CJK JP" w:cs="Noto Sans CJK JP"/>
        </w:rPr>
        <w:t>Data Sources</w:t>
      </w:r>
      <w:r>
        <w:rPr>
          <w:color w:val="404040"/>
          <w:sz w:val="24"/>
          <w:rFonts w:ascii="Inter" w:hAnsi="Inter" w:eastAsia="Noto Sans CJK JP" w:cs="Noto Sans CJK JP"/>
        </w:rPr>
        <w:t xml:space="preserve"> tab—this is the default tab when creating a new GI. This is where you specify which table or object the GI will pull data from.</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Generic Inquiry Data Sources tab with the table selection pop-up and search box filtering tables starting with 'S'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Data Sources</w:t>
      </w:r>
      <w:r>
        <w:rPr>
          <w:color w:val="404040"/>
          <w:sz w:val="24"/>
          <w:rFonts w:ascii="Inter" w:hAnsi="Inter" w:eastAsia="Noto Sans CJK JP" w:cs="Noto Sans CJK JP"/>
        </w:rPr>
        <w:t xml:space="preserve"> tab, click to add a new table. In the pop-up window, type "SOOrder" in the search box to filter the available tables, then locate and select the </w:t>
      </w:r>
      <w:r>
        <w:rPr>
          <w:b/>
          <w:color w:val="404040"/>
          <w:sz w:val="24"/>
          <w:rFonts w:ascii="Inter" w:hAnsi="Inter" w:eastAsia="Noto Sans CJK JP" w:cs="Noto Sans CJK JP"/>
        </w:rPr>
        <w:t>SOOrder</w:t>
      </w:r>
      <w:r>
        <w:rPr>
          <w:color w:val="404040"/>
          <w:sz w:val="24"/>
          <w:rFonts w:ascii="Inter" w:hAnsi="Inter" w:eastAsia="Noto Sans CJK JP" w:cs="Noto Sans CJK JP"/>
        </w:rPr>
        <w:t xml:space="preserve"> table from the list.</w:t>
      </w:r>
    </w:p>
    <w:p>
      <w:pPr>
        <w:pStyle w:val="Heading2"/>
        <w:keepNext/>
        <w:keepLines/>
        <w:ind w:left="0"/>
        <w:outlineLvl w:val="1"/>
      </w:pPr>
      <w:r>
        <w:rPr>
          <w:b/>
          <w:color w:val="404040"/>
          <w:sz w:val="32"/>
          <w:rFonts w:ascii="Inter" w:hAnsi="Inter" w:eastAsia="Noto Sans CJK JP" w:cs="Noto Sans CJK JP"/>
        </w:rPr>
        <w:t>Step 8: Confirm the table selection</w:t>
      </w:r>
    </w:p>
    <w:p>
      <w:pPr>
        <w:keepNext/>
        <w:keepLines/>
      </w:pPr>
      <w:r>
        <w:rPr>
          <w:color w:val="404040"/>
          <w:sz w:val="24"/>
          <w:rFonts w:ascii="Inter" w:hAnsi="Inter" w:eastAsia="Noto Sans CJK JP" w:cs="Noto Sans CJK JP"/>
        </w:rPr>
        <w:t xml:space="preserve">Verify that the </w:t>
      </w:r>
      <w:r>
        <w:rPr>
          <w:b/>
          <w:color w:val="404040"/>
          <w:sz w:val="24"/>
          <w:rFonts w:ascii="Inter" w:hAnsi="Inter" w:eastAsia="Noto Sans CJK JP" w:cs="Noto Sans CJK JP"/>
        </w:rPr>
        <w:t>SOOrder</w:t>
      </w:r>
      <w:r>
        <w:rPr>
          <w:color w:val="404040"/>
          <w:sz w:val="24"/>
          <w:rFonts w:ascii="Inter" w:hAnsi="Inter" w:eastAsia="Noto Sans CJK JP" w:cs="Noto Sans CJK JP"/>
        </w:rPr>
        <w:t xml:space="preserve"> table now appears as a data source for your Generic Inquiry. This table contains the header-level fields, including Order Type, that you need for your report.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Stellar One logo, indicating the end of the instructional segment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you've identified the correct data field and added the necessary table to your Generic Inquiry, ensuring your report pulls accurate header-level sales order data from Acumatica.</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With the SOOrder table added as your data source, you can continue configuring your Generic Inquiry by setting up </w:t>
      </w:r>
      <w:r>
        <w:rPr>
          <w:b/>
          <w:color w:val="404040"/>
          <w:sz w:val="24"/>
          <w:rFonts w:ascii="Inter" w:hAnsi="Inter" w:eastAsia="Noto Sans CJK JP" w:cs="Noto Sans CJK JP"/>
        </w:rPr>
        <w:t>Relations</w:t>
      </w:r>
      <w:r>
        <w:rPr>
          <w:color w:val="404040"/>
          <w:sz w:val="24"/>
          <w:rFonts w:ascii="Inter" w:hAnsi="Inter" w:eastAsia="Noto Sans CJK JP" w:cs="Noto Sans CJK JP"/>
        </w:rPr>
        <w:t xml:space="preserve">, </w:t>
      </w:r>
      <w:r>
        <w:rPr>
          <w:b/>
          <w:color w:val="404040"/>
          <w:sz w:val="24"/>
          <w:rFonts w:ascii="Inter" w:hAnsi="Inter" w:eastAsia="Noto Sans CJK JP" w:cs="Noto Sans CJK JP"/>
        </w:rPr>
        <w:t>Parameters</w:t>
      </w:r>
      <w:r>
        <w:rPr>
          <w:color w:val="404040"/>
          <w:sz w:val="24"/>
          <w:rFonts w:ascii="Inter" w:hAnsi="Inter" w:eastAsia="Noto Sans CJK JP" w:cs="Noto Sans CJK JP"/>
        </w:rPr>
        <w:t xml:space="preserve">, </w:t>
      </w:r>
      <w:r>
        <w:rPr>
          <w:b/>
          <w:color w:val="404040"/>
          <w:sz w:val="24"/>
          <w:rFonts w:ascii="Inter" w:hAnsi="Inter" w:eastAsia="Noto Sans CJK JP" w:cs="Noto Sans CJK JP"/>
        </w:rPr>
        <w:t>Conditions</w:t>
      </w:r>
      <w:r>
        <w:rPr>
          <w:color w:val="404040"/>
          <w:sz w:val="24"/>
          <w:rFonts w:ascii="Inter" w:hAnsi="Inter" w:eastAsia="Noto Sans CJK JP" w:cs="Noto Sans CJK JP"/>
        </w:rPr>
        <w:t xml:space="preserve">, </w:t>
      </w:r>
      <w:r>
        <w:rPr>
          <w:b/>
          <w:color w:val="404040"/>
          <w:sz w:val="24"/>
          <w:rFonts w:ascii="Inter" w:hAnsi="Inter" w:eastAsia="Noto Sans CJK JP" w:cs="Noto Sans CJK JP"/>
        </w:rPr>
        <w:t>Grouping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Sort Order</w:t>
      </w:r>
      <w:r>
        <w:rPr>
          <w:color w:val="404040"/>
          <w:sz w:val="24"/>
          <w:rFonts w:ascii="Inter" w:hAnsi="Inter" w:eastAsia="Noto Sans CJK JP" w:cs="Noto Sans CJK JP"/>
        </w:rPr>
        <w:t xml:space="preserve">, and the </w:t>
      </w:r>
      <w:r>
        <w:rPr>
          <w:b/>
          <w:color w:val="404040"/>
          <w:sz w:val="24"/>
          <w:rFonts w:ascii="Inter" w:hAnsi="Inter" w:eastAsia="Noto Sans CJK JP" w:cs="Noto Sans CJK JP"/>
        </w:rPr>
        <w:t>Results Grid</w:t>
      </w:r>
      <w:r>
        <w:rPr>
          <w:color w:val="404040"/>
          <w:sz w:val="24"/>
          <w:rFonts w:ascii="Inter" w:hAnsi="Inter" w:eastAsia="Noto Sans CJK JP" w:cs="Noto Sans CJK JP"/>
        </w:rPr>
        <w:t xml:space="preserve"> to further refine the data your report returns.</w:t>
      </w:r>
    </w:p>
    <w:p>
      <w:pPr/>
      <w:r>
        <w:br w:type="page"/>
      </w:r>
    </w:p>
    <w:sectPr w:rsidR="00FC693F" w:rsidRPr="0006063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