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Network Outage Runbook</w:t>
      </w:r>
    </w:p>
    <w:bookmarkStart w:id="23" w:name="network-outage-runbook"/>
    <w:p>
      <w:pPr>
        <w:pStyle w:val="Heading1"/>
      </w:pPr>
      <w:r>
        <w:t xml:space="preserve">Network Outage Runbook</w:t>
      </w:r>
    </w:p>
    <w:p>
      <w:pPr>
        <w:pStyle w:val="BlockText"/>
      </w:pPr>
      <w:r>
        <w:t xml:space="preserve">Use this template to incident response guide for service outages and degraded network performance.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cident-criteria"/>
    <w:p>
      <w:pPr>
        <w:pStyle w:val="Heading2"/>
      </w:pPr>
      <w:r>
        <w:t xml:space="preserve">Incident Criteria</w:t>
      </w:r>
    </w:p>
    <w:p>
      <w:pPr>
        <w:pStyle w:val="FirstParagraph"/>
      </w:pPr>
      <w:r>
        <w:t xml:space="preserve">Define outage, degradation, alarm storm, customer impact, and severity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les-escalation"/>
    <w:p>
      <w:pPr>
        <w:pStyle w:val="Heading2"/>
      </w:pPr>
      <w:r>
        <w:t xml:space="preserve">Roles &amp; Escalation</w:t>
      </w:r>
    </w:p>
    <w:p>
      <w:pPr>
        <w:pStyle w:val="FirstParagraph"/>
      </w:pPr>
      <w:r>
        <w:t xml:space="preserve">List NOC, field operations, transport engineering, vendor TAC, account teams, and executive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itial-triage"/>
    <w:p>
      <w:pPr>
        <w:pStyle w:val="Heading2"/>
      </w:pPr>
      <w:r>
        <w:t xml:space="preserve">Initial Triage</w:t>
      </w:r>
    </w:p>
    <w:p>
      <w:pPr>
        <w:pStyle w:val="FirstParagraph"/>
      </w:pPr>
      <w:r>
        <w:t xml:space="preserve">Document alarm review, topology checks, ticket correlation, customer reports, and recent change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solation-procedure"/>
    <w:p>
      <w:pPr>
        <w:pStyle w:val="Heading2"/>
      </w:pPr>
      <w:r>
        <w:t xml:space="preserve">Isolation Procedure</w:t>
      </w:r>
    </w:p>
    <w:p>
      <w:pPr>
        <w:pStyle w:val="FirstParagraph"/>
      </w:pPr>
      <w:r>
        <w:t xml:space="preserve">Provide steps to isolate fiber, power, transport, routing, radio, or equipment faults.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storation-actions"/>
    <w:p>
      <w:pPr>
        <w:pStyle w:val="Heading2"/>
      </w:pPr>
      <w:r>
        <w:t xml:space="preserve">Restoration Actions</w:t>
      </w:r>
    </w:p>
    <w:p>
      <w:pPr>
        <w:pStyle w:val="FirstParagraph"/>
      </w:pPr>
      <w:r>
        <w:t xml:space="preserve">List failover, reroute, dispatch, spare replacement, rollback, and service validation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oot-cause-follow-up"/>
    <w:p>
      <w:pPr>
        <w:pStyle w:val="Heading2"/>
      </w:pPr>
      <w:r>
        <w:t xml:space="preserve">Root Cause &amp; Follow-Up</w:t>
      </w:r>
    </w:p>
    <w:p>
      <w:pPr>
        <w:pStyle w:val="FirstParagraph"/>
      </w:pPr>
      <w:r>
        <w:t xml:space="preserve">Capture timeline, impact, root cause, preventive actions, and customer-facing summary. Use clear decision points and timestamps.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Outage Runbook</dc:title>
  <dc:creator/>
  <cp:keywords/>
  <dcterms:created xsi:type="dcterms:W3CDTF">2026-05-05T18:47:59Z</dcterms:created>
  <dcterms:modified xsi:type="dcterms:W3CDTF">2026-05-05T18:47:59Z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