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Cleanroom Protocol</w:t>
      </w:r>
    </w:p>
    <w:bookmarkStart w:id="25" w:name="cleanroom-protocol"/>
    <w:p>
      <w:pPr>
        <w:pStyle w:val="Heading1"/>
      </w:pPr>
      <w:r>
        <w:t xml:space="preserve">Cleanroom Protocol</w:t>
      </w:r>
    </w:p>
    <w:p>
      <w:pPr>
        <w:pStyle w:val="BlockText"/>
      </w:pPr>
      <w:r>
        <w:t xml:space="preserve">Use this template to define gowning, behavior, and contamination controls for [cleanroom area].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cleanroom class, process area, products, and controlled contamination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try-requirements"/>
    <w:p>
      <w:pPr>
        <w:pStyle w:val="Heading2"/>
      </w:pPr>
      <w:r>
        <w:t xml:space="preserve">Entry Requirements</w:t>
      </w:r>
    </w:p>
    <w:p>
      <w:pPr>
        <w:pStyle w:val="FirstParagraph"/>
      </w:pPr>
      <w:r>
        <w:t xml:space="preserve">List training, health, cosmetics, personal item, and access badge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gowning-sequence"/>
    <w:p>
      <w:pPr>
        <w:pStyle w:val="Heading2"/>
      </w:pPr>
      <w:r>
        <w:t xml:space="preserve">Gowning Sequence</w:t>
      </w:r>
    </w:p>
    <w:p>
      <w:pPr>
        <w:pStyle w:val="FirstParagraph"/>
      </w:pPr>
      <w:r>
        <w:t xml:space="preserve">Provide numbered gowning and degowning steps with inspection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leanroom-conduct"/>
    <w:p>
      <w:pPr>
        <w:pStyle w:val="Heading2"/>
      </w:pPr>
      <w:r>
        <w:t xml:space="preserve">Cleanroom Conduct</w:t>
      </w:r>
    </w:p>
    <w:p>
      <w:pPr>
        <w:pStyle w:val="FirstParagraph"/>
      </w:pPr>
      <w:r>
        <w:t xml:space="preserve">Define movement, talking, tool use, glove changes, paper, phones, and prohibited behaviors.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terial-transfer"/>
    <w:p>
      <w:pPr>
        <w:pStyle w:val="Heading2"/>
      </w:pPr>
      <w:r>
        <w:t xml:space="preserve">Material Transfer</w:t>
      </w:r>
    </w:p>
    <w:p>
      <w:pPr>
        <w:pStyle w:val="FirstParagraph"/>
      </w:pPr>
      <w:r>
        <w:t xml:space="preserve">Describe wipe-down, pass-through, double bagging, carts, and chemical/container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Table particle, molecular, humidity, temperature, and surface checks with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xcursion-response"/>
    <w:p>
      <w:pPr>
        <w:pStyle w:val="Heading2"/>
      </w:pPr>
      <w:r>
        <w:t xml:space="preserve">Excursion Response</w:t>
      </w:r>
    </w:p>
    <w:p>
      <w:pPr>
        <w:pStyle w:val="FirstParagraph"/>
      </w:pPr>
      <w:r>
        <w:t xml:space="preserve">State product hold, area restriction, notification, and recovery verification. Use clear procedural Markdown and measurable environmental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Cleanroom Protocol</dc:title>
  <dc:creator/>
  <cp:keywords/>
  <dcterms:created xsi:type="dcterms:W3CDTF">2026-05-05T18:47:15Z</dcterms:created>
  <dcterms:modified xsi:type="dcterms:W3CDTF">2026-05-05T18:47:15Z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