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Burn-In Procedure</w:t>
      </w:r>
    </w:p>
    <w:bookmarkStart w:id="25" w:name="burn-in-procedure"/>
    <w:p>
      <w:pPr>
        <w:pStyle w:val="Heading1"/>
      </w:pPr>
      <w:r>
        <w:t xml:space="preserve">Burn-In Procedure</w:t>
      </w:r>
    </w:p>
    <w:p>
      <w:pPr>
        <w:pStyle w:val="BlockText"/>
      </w:pPr>
      <w:r>
        <w:t xml:space="preserve">Use this template to define device burn-in loading, stress conditions, monitoring, unload, and disposition.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Identify product, package, burn-in purpose, lot types, and applicable standards.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quipment-and-fixtures"/>
    <w:p>
      <w:pPr>
        <w:pStyle w:val="Heading2"/>
      </w:pPr>
      <w:r>
        <w:t xml:space="preserve">Equipment and Fixtures</w:t>
      </w:r>
    </w:p>
    <w:p>
      <w:pPr>
        <w:pStyle w:val="FirstParagraph"/>
      </w:pPr>
      <w:r>
        <w:t xml:space="preserve">List ovens, burn-in boards, sockets, power supplies, monitors, calibrations, and fixture limits.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e-burn-in-checks"/>
    <w:p>
      <w:pPr>
        <w:pStyle w:val="Heading2"/>
      </w:pPr>
      <w:r>
        <w:t xml:space="preserve">Pre-Burn-In Checks</w:t>
      </w:r>
    </w:p>
    <w:p>
      <w:pPr>
        <w:pStyle w:val="FirstParagraph"/>
      </w:pPr>
      <w:r>
        <w:t xml:space="preserve">Define serialization, visual inspection, continuity, board verification, and loading orientation.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tress-conditions"/>
    <w:p>
      <w:pPr>
        <w:pStyle w:val="Heading2"/>
      </w:pPr>
      <w:r>
        <w:t xml:space="preserve">Stress Conditions</w:t>
      </w:r>
    </w:p>
    <w:p>
      <w:pPr>
        <w:pStyle w:val="FirstParagraph"/>
      </w:pPr>
      <w:r>
        <w:t xml:space="preserve">Table temperature, voltage, bias mode, duration, read points, and ramp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onitoring"/>
    <w:p>
      <w:pPr>
        <w:pStyle w:val="Heading2"/>
      </w:pPr>
      <w:r>
        <w:t xml:space="preserve">Monitoring</w:t>
      </w:r>
    </w:p>
    <w:p>
      <w:pPr>
        <w:pStyle w:val="FirstParagraph"/>
      </w:pPr>
      <w:r>
        <w:t xml:space="preserve">Specify current limits, alarm response, chamber logging, sample checks, and operator rounds.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ost-burn-in-test"/>
    <w:p>
      <w:pPr>
        <w:pStyle w:val="Heading2"/>
      </w:pPr>
      <w:r>
        <w:t xml:space="preserve">Post-Burn-In Test</w:t>
      </w:r>
    </w:p>
    <w:p>
      <w:pPr>
        <w:pStyle w:val="FirstParagraph"/>
      </w:pPr>
      <w:r>
        <w:t xml:space="preserve">Define cooldown, unload, visual inspection, electrical test, and data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isposition"/>
    <w:p>
      <w:pPr>
        <w:pStyle w:val="Heading2"/>
      </w:pPr>
      <w:r>
        <w:t xml:space="preserve">Disposition</w:t>
      </w:r>
    </w:p>
    <w:p>
      <w:pPr>
        <w:pStyle w:val="FirstParagraph"/>
      </w:pPr>
      <w:r>
        <w:t xml:space="preserve">State pass, fail, retest, FA, scrap, and lot release rules. Use precise electrical stress values and safety-critical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Burn-In Procedure</dc:title>
  <dc:creator/>
  <cp:keywords/>
  <dcterms:created xsi:type="dcterms:W3CDTF">2026-05-05T18:47:13Z</dcterms:created>
  <dcterms:modified xsi:type="dcterms:W3CDTF">2026-05-05T18:47:13Z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