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Dispatch SOP</w:t>
      </w:r>
    </w:p>
    <w:bookmarkStart w:id="24" w:name="dispatch-sop"/>
    <w:p>
      <w:pPr>
        <w:pStyle w:val="Heading1"/>
      </w:pPr>
      <w:r>
        <w:t xml:space="preserve">Dispatch SOP</w:t>
      </w:r>
    </w:p>
    <w:p>
      <w:pPr>
        <w:pStyle w:val="BlockText"/>
      </w:pPr>
      <w:r>
        <w:t xml:space="preserve">Use this template to standardize emergency call intake, prioritization, unit dispatch, updates, and closure.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Public Safety &amp; Emergency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-and-scope"/>
    <w:p>
      <w:pPr>
        <w:pStyle w:val="Heading2"/>
      </w:pPr>
      <w:r>
        <w:t xml:space="preserve">Purpose and Scope</w:t>
      </w:r>
    </w:p>
    <w:p>
      <w:pPr>
        <w:pStyle w:val="FirstParagraph"/>
      </w:pPr>
      <w:r>
        <w:t xml:space="preserve">Define agency, call types, service area, and dispatcher responsibilities.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all-intake"/>
    <w:p>
      <w:pPr>
        <w:pStyle w:val="Heading2"/>
      </w:pPr>
      <w:r>
        <w:t xml:space="preserve">Call Intake</w:t>
      </w:r>
    </w:p>
    <w:p>
      <w:pPr>
        <w:pStyle w:val="FirstParagraph"/>
      </w:pPr>
      <w:r>
        <w:t xml:space="preserve">Document required caller, location, callback, incident type, and immediate safety questions.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riority-and-coding"/>
    <w:p>
      <w:pPr>
        <w:pStyle w:val="Heading2"/>
      </w:pPr>
      <w:r>
        <w:t xml:space="preserve">Priority and Coding</w:t>
      </w:r>
    </w:p>
    <w:p>
      <w:pPr>
        <w:pStyle w:val="FirstParagraph"/>
      </w:pPr>
      <w:r>
        <w:t xml:space="preserve">Explain priority levels, response codes, duplicate calls, and reclassification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dispatch-procedure"/>
    <w:p>
      <w:pPr>
        <w:pStyle w:val="Heading2"/>
      </w:pPr>
      <w:r>
        <w:t xml:space="preserve">Dispatch Procedure</w:t>
      </w:r>
    </w:p>
    <w:p>
      <w:pPr>
        <w:pStyle w:val="FirstParagraph"/>
      </w:pPr>
      <w:r>
        <w:t xml:space="preserve">Describe unit selection, radio format, CAD entry, staging instructions, and mutual aid triggers.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tatus-updates"/>
    <w:p>
      <w:pPr>
        <w:pStyle w:val="Heading2"/>
      </w:pPr>
      <w:r>
        <w:t xml:space="preserve">Status Updates</w:t>
      </w:r>
    </w:p>
    <w:p>
      <w:pPr>
        <w:pStyle w:val="FirstParagraph"/>
      </w:pPr>
      <w:r>
        <w:t xml:space="preserve">List required timestamps, unit status changes, caller updates, and supervisor notifications.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scalation-and-special-handling"/>
    <w:p>
      <w:pPr>
        <w:pStyle w:val="Heading2"/>
      </w:pPr>
      <w:r>
        <w:t xml:space="preserve">Escalation and Special Handling</w:t>
      </w:r>
    </w:p>
    <w:p>
      <w:pPr>
        <w:pStyle w:val="FirstParagraph"/>
      </w:pPr>
      <w:r>
        <w:t xml:space="preserve">Cover officer safety, fire escalation, medical pre-arrival instructions, language access, and high-risk calls.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closeout-and-quality-review"/>
    <w:p>
      <w:pPr>
        <w:pStyle w:val="Heading2"/>
      </w:pPr>
      <w:r>
        <w:t xml:space="preserve">Closeout and Quality Review</w:t>
      </w:r>
    </w:p>
    <w:p>
      <w:pPr>
        <w:pStyle w:val="FirstParagraph"/>
      </w:pPr>
      <w:r>
        <w:t xml:space="preserve">Document disposition codes, narrative standards, recordings, and QA sampling.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 SOP</dc:title>
  <dc:creator/>
  <cp:keywords/>
  <dcterms:created xsi:type="dcterms:W3CDTF">2026-05-05T18:45:40Z</dcterms:created>
  <dcterms:modified xsi:type="dcterms:W3CDTF">2026-05-05T18:45:40Z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