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Permit to Work SOP</w:t>
      </w:r>
    </w:p>
    <w:bookmarkStart w:id="23" w:name="permit-to-work-sop"/>
    <w:p>
      <w:pPr>
        <w:pStyle w:val="Heading1"/>
      </w:pPr>
      <w:r>
        <w:t xml:space="preserve">Permit to Work SOP</w:t>
      </w:r>
    </w:p>
    <w:p>
      <w:pPr>
        <w:pStyle w:val="BlockText"/>
      </w:pPr>
      <w:r>
        <w:t xml:space="preserve">Use this template to control hazardous work on rigs, plants, and terminals through permits, isolations, gas testing, and handback.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and-scope"/>
    <w:p>
      <w:pPr>
        <w:pStyle w:val="Heading2"/>
      </w:pPr>
      <w:r>
        <w:t xml:space="preserve">Purpose and Scope</w:t>
      </w:r>
    </w:p>
    <w:p>
      <w:pPr>
        <w:pStyle w:val="FirstParagraph"/>
      </w:pPr>
      <w:r>
        <w:t xml:space="preserve">Define covered facilities, work types, and authority to stop work.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ermit-types"/>
    <w:p>
      <w:pPr>
        <w:pStyle w:val="Heading2"/>
      </w:pPr>
      <w:r>
        <w:t xml:space="preserve">Permit Types</w:t>
      </w:r>
    </w:p>
    <w:p>
      <w:pPr>
        <w:pStyle w:val="FirstParagraph"/>
      </w:pPr>
      <w:r>
        <w:t xml:space="preserve">Describe hot work, confined space, electrical, lifting, excavation, line break, and simultaneous operations permits.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oles-and-competency"/>
    <w:p>
      <w:pPr>
        <w:pStyle w:val="Heading2"/>
      </w:pPr>
      <w:r>
        <w:t xml:space="preserve">Roles and Competency</w:t>
      </w:r>
    </w:p>
    <w:p>
      <w:pPr>
        <w:pStyle w:val="FirstParagraph"/>
      </w:pPr>
      <w:r>
        <w:t xml:space="preserve">Define permit issuer, area authority, performing authority, gas tester, isolating authority, and workforce responsibilities.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ermit-workflow"/>
    <w:p>
      <w:pPr>
        <w:pStyle w:val="Heading2"/>
      </w:pPr>
      <w:r>
        <w:t xml:space="preserve">Permit Workflow</w:t>
      </w:r>
    </w:p>
    <w:p>
      <w:pPr>
        <w:pStyle w:val="FirstParagraph"/>
      </w:pPr>
      <w:r>
        <w:t xml:space="preserve">Document planning, risk assessment, toolbox talk, approval, display, suspension, extension, and closeout.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solation-and-gas-testing"/>
    <w:p>
      <w:pPr>
        <w:pStyle w:val="Heading2"/>
      </w:pPr>
      <w:r>
        <w:t xml:space="preserve">Isolation and Gas Testing</w:t>
      </w:r>
    </w:p>
    <w:p>
      <w:pPr>
        <w:pStyle w:val="FirstParagraph"/>
      </w:pPr>
      <w:r>
        <w:t xml:space="preserve">Specify lockout, blind lists, zero-energy verification, gas test limits, frequency, and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handback-and-audit"/>
    <w:p>
      <w:pPr>
        <w:pStyle w:val="Heading2"/>
      </w:pPr>
      <w:r>
        <w:t xml:space="preserve">Handback and Audit</w:t>
      </w:r>
    </w:p>
    <w:p>
      <w:pPr>
        <w:pStyle w:val="FirstParagraph"/>
      </w:pPr>
      <w:r>
        <w:t xml:space="preserve">Explain housekeeping, reinstatement, permit return, and periodic audit checks. Use clear shall statements and tables for permit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Work SOP</dc:title>
  <dc:creator/>
  <cp:keywords/>
  <dcterms:created xsi:type="dcterms:W3CDTF">2026-05-05T18:44:09Z</dcterms:created>
  <dcterms:modified xsi:type="dcterms:W3CDTF">2026-05-05T18:44:09Z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