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Implementation and Deployment Guide Template</w:t>
      </w:r>
    </w:p>
    <w:p>
      <w:r>
        <w:t>Use this working document to plan, install, configure, verify, and hand over a system. Complete it from the source implementation material. Repeat procedures by component or environment only when their steps differ. Remove unsupported parts before review. This is an editable blank template rather than a completed deployment plan.</w:t>
      </w:r>
    </w:p>
    <w:p>
      <w:pPr>
        <w:pStyle w:val="Heading1"/>
      </w:pPr>
      <w:r>
        <w:t>Introduction and Solution Overview</w:t>
      </w:r>
    </w:p>
    <w:p>
      <w:r>
        <w:rPr>
          <w:b/>
        </w:rPr>
        <w:t>Product or solution:</w:t>
      </w:r>
      <w:r>
        <w:t xml:space="preserve"> [Name and source-stated version]</w:t>
      </w:r>
    </w:p>
    <w:p>
      <w:r>
        <w:rPr>
          <w:b/>
        </w:rPr>
        <w:t>Purpose and scope:</w:t>
      </w:r>
      <w:r>
        <w:t xml:space="preserve"> [What this implementation delivers, for whom, and its boundaries]</w:t>
      </w:r>
    </w:p>
    <w:p>
      <w:r>
        <w:rPr>
          <w:b/>
        </w:rPr>
        <w:t>Target architecture:</w:t>
      </w:r>
      <w:r>
        <w:t xml:space="preserve"> [Describe the topology and link the source diagram]</w:t>
      </w:r>
    </w:p>
    <w:tbl>
      <w:tblPr>
        <w:tblW w:type="auto" w:w="0"/>
        <w:jc w:val="center"/>
        <w:tblLayout w:type="fixed"/>
        <w:tblLook w:firstColumn="1" w:firstRow="1" w:lastColumn="0" w:lastRow="0" w:noHBand="0" w:noVBand="1" w:val="04A0"/>
      </w:tblPr>
      <w:tblGrid>
        <w:gridCol w:w="3571"/>
        <w:gridCol w:w="1708"/>
        <w:gridCol w:w="2950"/>
        <w:gridCol w:w="1708"/>
      </w:tblGrid>
      <w:tr>
        <w:trPr>
          <w:cantSplit/>
          <w:tblHeader/>
        </w:trPr>
        <w:tc>
          <w:tcPr>
            <w:tcW w:type="dxa" w:w="357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Component or dependency</w:t>
            </w:r>
          </w:p>
        </w:tc>
        <w:tc>
          <w:tcPr>
            <w:tcW w:type="dxa" w:w="170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Purpose</w:t>
            </w:r>
          </w:p>
        </w:tc>
        <w:tc>
          <w:tcPr>
            <w:tcW w:type="dxa" w:w="295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Environment or site</w:t>
            </w:r>
          </w:p>
        </w:tc>
        <w:tc>
          <w:tcPr>
            <w:tcW w:type="dxa" w:w="170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w:t>
            </w:r>
          </w:p>
        </w:tc>
      </w:tr>
      <w:tr>
        <w:trPr>
          <w:cantSplit/>
        </w:trPr>
        <w:tc>
          <w:tcPr>
            <w:tcW w:type="dxa" w:w="357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[Component]</w:t>
            </w:r>
          </w:p>
        </w:tc>
        <w:tc>
          <w:tcPr>
            <w:tcW w:type="dxa" w:w="170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[Function]</w:t>
            </w:r>
          </w:p>
        </w:tc>
        <w:tc>
          <w:tcPr>
            <w:tcW w:type="dxa" w:w="295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[Environment]</w:t>
            </w:r>
          </w:p>
        </w:tc>
        <w:tc>
          <w:tcPr>
            <w:tcW w:type="dxa" w:w="170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r>
        <w:rPr>
          <w:b/>
        </w:rPr>
        <w:t>Constraints:</w:t>
      </w:r>
      <w:r>
        <w:t xml:space="preserve"> [Source-defined constraints and exclusions]</w:t>
      </w:r>
    </w:p>
    <w:p>
      <w:pPr>
        <w:pStyle w:val="Heading1"/>
      </w:pPr>
      <w:r>
        <w:t>Roles and Responsibilities</w:t>
      </w:r>
    </w:p>
    <w:tbl>
      <w:tblPr>
        <w:tblW w:type="auto" w:w="0"/>
        <w:jc w:val="center"/>
        <w:tblLayout w:type="fixed"/>
        <w:tblLook w:firstColumn="1" w:firstRow="1" w:lastColumn="0" w:lastRow="0" w:noHBand="0" w:noVBand="1" w:val="04A0"/>
      </w:tblPr>
      <w:tblGrid>
        <w:gridCol w:w="2799"/>
        <w:gridCol w:w="2239"/>
        <w:gridCol w:w="3359"/>
        <w:gridCol w:w="1539"/>
      </w:tblGrid>
      <w:tr>
        <w:trPr>
          <w:cantSplit/>
          <w:tblHeader/>
        </w:trPr>
        <w:tc>
          <w:tcPr>
            <w:tcW w:type="dxa" w:w="279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Activity or decision</w:t>
            </w:r>
          </w:p>
        </w:tc>
        <w:tc>
          <w:tcPr>
            <w:tcW w:type="dxa" w:w="22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Responsible role</w:t>
            </w:r>
          </w:p>
        </w:tc>
        <w:tc>
          <w:tcPr>
            <w:tcW w:type="dxa" w:w="335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Authorization or handoff</w:t>
            </w:r>
          </w:p>
        </w:tc>
        <w:tc>
          <w:tcPr>
            <w:tcW w:type="dxa" w:w="15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w:t>
            </w:r>
          </w:p>
        </w:tc>
      </w:tr>
      <w:tr>
        <w:trPr>
          <w:cantSplit/>
        </w:trPr>
        <w:tc>
          <w:tcPr>
            <w:tcW w:type="dxa" w:w="279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Planning</w:t>
            </w:r>
          </w:p>
        </w:tc>
        <w:tc>
          <w:tcPr>
            <w:tcW w:type="dxa" w:w="22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c>
          <w:tcPr>
            <w:tcW w:type="dxa" w:w="335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right]</w:t>
            </w:r>
          </w:p>
        </w:tc>
        <w:tc>
          <w:tcPr>
            <w:tcW w:type="dxa" w:w="15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r>
        <w:trPr>
          <w:cantSplit/>
        </w:trPr>
        <w:tc>
          <w:tcPr>
            <w:tcW w:type="dxa" w:w="279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Installation and configuration</w:t>
            </w:r>
          </w:p>
        </w:tc>
        <w:tc>
          <w:tcPr>
            <w:tcW w:type="dxa" w:w="22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c>
          <w:tcPr>
            <w:tcW w:type="dxa" w:w="335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right]</w:t>
            </w:r>
          </w:p>
        </w:tc>
        <w:tc>
          <w:tcPr>
            <w:tcW w:type="dxa" w:w="15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r>
        <w:trPr>
          <w:cantSplit/>
        </w:trPr>
        <w:tc>
          <w:tcPr>
            <w:tcW w:type="dxa" w:w="279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and go-live</w:t>
            </w:r>
          </w:p>
        </w:tc>
        <w:tc>
          <w:tcPr>
            <w:tcW w:type="dxa" w:w="22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c>
          <w:tcPr>
            <w:tcW w:type="dxa" w:w="335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right]</w:t>
            </w:r>
          </w:p>
        </w:tc>
        <w:tc>
          <w:tcPr>
            <w:tcW w:type="dxa" w:w="15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r>
        <w:trPr>
          <w:cantSplit/>
        </w:trPr>
        <w:tc>
          <w:tcPr>
            <w:tcW w:type="dxa" w:w="279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Back-out or rollback</w:t>
            </w:r>
          </w:p>
        </w:tc>
        <w:tc>
          <w:tcPr>
            <w:tcW w:type="dxa" w:w="22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[Role]</w:t>
            </w:r>
          </w:p>
        </w:tc>
        <w:tc>
          <w:tcPr>
            <w:tcW w:type="dxa" w:w="335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[Decision right]</w:t>
            </w:r>
          </w:p>
        </w:tc>
        <w:tc>
          <w:tcPr>
            <w:tcW w:type="dxa" w:w="153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r>
        <w:t>Remove rows that the source does not assign. Do not infer an approver from an unassigned activity.</w:t>
      </w:r>
    </w:p>
    <w:p>
      <w:pPr>
        <w:pStyle w:val="Heading1"/>
      </w:pPr>
      <w:r>
        <w:t>Deployment Planning</w:t>
      </w:r>
    </w:p>
    <w:p>
      <w:r>
        <w:rPr>
          <w:b/>
        </w:rPr>
        <w:t>Approach and phases:</w:t>
      </w:r>
      <w:r>
        <w:t xml:space="preserve"> [Source-supported rollout approach in dependency order]</w:t>
      </w:r>
    </w:p>
    <w:tbl>
      <w:tblPr>
        <w:tblW w:type="auto" w:w="0"/>
        <w:jc w:val="center"/>
        <w:tblLayout w:type="fixed"/>
        <w:tblLook w:firstColumn="1" w:firstRow="1" w:lastColumn="0" w:lastRow="0" w:noHBand="0" w:noVBand="1" w:val="04A0"/>
      </w:tblPr>
      <w:tblGrid>
        <w:gridCol w:w="1242"/>
        <w:gridCol w:w="2936"/>
        <w:gridCol w:w="1694"/>
        <w:gridCol w:w="1581"/>
        <w:gridCol w:w="2484"/>
      </w:tblGrid>
      <w:tr>
        <w:trPr>
          <w:cantSplit/>
          <w:tblHeader/>
        </w:trPr>
        <w:tc>
          <w:tcPr>
            <w:tcW w:type="dxa" w:w="124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Phase</w:t>
            </w:r>
          </w:p>
        </w:tc>
        <w:tc>
          <w:tcPr>
            <w:tcW w:type="dxa" w:w="293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Target site or environment</w:t>
            </w:r>
          </w:p>
        </w:tc>
        <w:tc>
          <w:tcPr>
            <w:tcW w:type="dxa" w:w="169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Entry condition</w:t>
            </w:r>
          </w:p>
        </w:tc>
        <w:tc>
          <w:tcPr>
            <w:tcW w:type="dxa" w:w="158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Exit condition</w:t>
            </w:r>
          </w:p>
        </w:tc>
        <w:tc>
          <w:tcPr>
            <w:tcW w:type="dxa" w:w="248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Source-stated schedule</w:t>
            </w:r>
          </w:p>
        </w:tc>
      </w:tr>
      <w:tr>
        <w:trPr>
          <w:cantSplit/>
        </w:trPr>
        <w:tc>
          <w:tcPr>
            <w:tcW w:type="dxa" w:w="124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[Phase]</w:t>
            </w:r>
          </w:p>
        </w:tc>
        <w:tc>
          <w:tcPr>
            <w:tcW w:type="dxa" w:w="293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[Target]</w:t>
            </w:r>
          </w:p>
        </w:tc>
        <w:tc>
          <w:tcPr>
            <w:tcW w:type="dxa" w:w="169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[Readiness evidence]</w:t>
            </w:r>
          </w:p>
        </w:tc>
        <w:tc>
          <w:tcPr>
            <w:tcW w:type="dxa" w:w="158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[Result]</w:t>
            </w:r>
          </w:p>
        </w:tc>
        <w:tc>
          <w:tcPr>
            <w:tcW w:type="dxa" w:w="248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[Schedule or omit]</w:t>
            </w:r>
          </w:p>
        </w:tc>
      </w:tr>
    </w:tbl>
    <w:p>
      <w:pPr>
        <w:spacing w:after="40"/>
      </w:pPr>
    </w:p>
    <w:p>
      <w:pPr>
        <w:pStyle w:val="Heading2"/>
      </w:pPr>
      <w:r>
        <w:t>Site Readiness Checklist</w:t>
      </w:r>
    </w:p>
    <w:p>
      <w:r>
        <w:rPr>
          <w:rFonts w:ascii="Arial Unicode MS" w:hAnsi="Arial Unicode MS"/>
        </w:rPr>
        <w:t xml:space="preserve">☐ </w:t>
      </w:r>
      <w:r>
        <w:t>[Facility, access, dependency, capacity, or licensing requirement stated in the source]</w:t>
      </w:r>
    </w:p>
    <w:p>
      <w:r>
        <w:rPr>
          <w:rFonts w:ascii="Arial Unicode MS" w:hAnsi="Arial Unicode MS"/>
        </w:rPr>
        <w:t xml:space="preserve">☐ </w:t>
      </w:r>
      <w:r>
        <w:t>[Next source-supported readiness item and observable acceptance condition]</w:t>
      </w:r>
    </w:p>
    <w:p>
      <w:pPr>
        <w:pStyle w:val="Heading1"/>
      </w:pPr>
      <w:r>
        <w:t>Installation</w:t>
      </w:r>
    </w:p>
    <w:p>
      <w:pPr>
        <w:pStyle w:val="Heading2"/>
      </w:pPr>
      <w:r>
        <w:t>Prerequisites and System Requirements</w:t>
      </w:r>
    </w:p>
    <w:tbl>
      <w:tblPr>
        <w:tblW w:type="auto" w:w="0"/>
        <w:jc w:val="center"/>
        <w:tblLayout w:type="fixed"/>
        <w:tblLook w:firstColumn="1" w:firstRow="1" w:lastColumn="0" w:lastRow="0" w:noHBand="0" w:noVBand="1" w:val="04A0"/>
      </w:tblPr>
      <w:tblGrid>
        <w:gridCol w:w="1419"/>
        <w:gridCol w:w="3226"/>
        <w:gridCol w:w="1419"/>
        <w:gridCol w:w="2452"/>
        <w:gridCol w:w="1419"/>
      </w:tblGrid>
      <w:tr>
        <w:trPr>
          <w:cantSplit/>
          <w:tblHeader/>
        </w:trPr>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Requirement</w:t>
            </w:r>
          </w:p>
        </w:tc>
        <w:tc>
          <w:tcPr>
            <w:tcW w:type="dxa" w:w="322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Required version or value</w:t>
            </w:r>
          </w:p>
        </w:tc>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Environment</w:t>
            </w:r>
          </w:p>
        </w:tc>
        <w:tc>
          <w:tcPr>
            <w:tcW w:type="dxa" w:w="245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Verification method</w:t>
            </w:r>
          </w:p>
        </w:tc>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w:t>
            </w:r>
          </w:p>
        </w:tc>
      </w:tr>
      <w:tr>
        <w:trPr>
          <w:cantSplit/>
        </w:trPr>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[Hardware or software]</w:t>
            </w:r>
          </w:p>
        </w:tc>
        <w:tc>
          <w:tcPr>
            <w:tcW w:type="dxa" w:w="322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[Exact requirement]</w:t>
            </w:r>
          </w:p>
        </w:tc>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[Target]</w:t>
            </w:r>
          </w:p>
        </w:tc>
        <w:tc>
          <w:tcPr>
            <w:tcW w:type="dxa" w:w="245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w:t>
            </w:r>
          </w:p>
        </w:tc>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r>
        <w:trPr>
          <w:cantSplit/>
        </w:trPr>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[Network or permission]</w:t>
            </w:r>
          </w:p>
        </w:tc>
        <w:tc>
          <w:tcPr>
            <w:tcW w:type="dxa" w:w="322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[Exact requirement]</w:t>
            </w:r>
          </w:p>
        </w:tc>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[Target]</w:t>
            </w:r>
          </w:p>
        </w:tc>
        <w:tc>
          <w:tcPr>
            <w:tcW w:type="dxa" w:w="245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w:t>
            </w:r>
          </w:p>
        </w:tc>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r>
        <w:rPr>
          <w:b/>
        </w:rPr>
        <w:t>Backup prerequisites:</w:t>
      </w:r>
      <w:r>
        <w:t xml:space="preserve"> [Required backup and validation, when the source covers it]</w:t>
      </w:r>
    </w:p>
    <w:p>
      <w:pPr>
        <w:pStyle w:val="Heading2"/>
      </w:pPr>
      <w:r>
        <w:t>Installation Procedure Pattern</w:t>
      </w:r>
    </w:p>
    <w:p>
      <w:r>
        <w:t>Repeat once per installation task or component.</w:t>
      </w:r>
    </w:p>
    <w:p>
      <w:r>
        <w:rPr>
          <w:b/>
        </w:rPr>
        <w:t>Task and desired outcome:</w:t>
      </w:r>
      <w:r>
        <w:t xml:space="preserve"> [Specific installation result]</w:t>
      </w:r>
    </w:p>
    <w:p>
      <w:r>
        <w:rPr>
          <w:b/>
        </w:rPr>
        <w:t>Environment and prerequisites:</w:t>
      </w:r>
      <w:r>
        <w:t xml:space="preserve"> [Target and dependencies]</w:t>
      </w:r>
    </w:p>
    <w:p>
      <w:r>
        <w:rPr>
          <w:b/>
        </w:rPr>
        <w:t>Source warning:</w:t>
      </w:r>
      <w:r>
        <w:t xml:space="preserve"> [Place immediately before the affected step; omit if unsupported]</w:t>
      </w:r>
    </w:p>
    <w:p>
      <w:pPr>
        <w:ind w:left="288" w:hanging="288"/>
      </w:pPr>
      <w:r>
        <w:t>1. [Obtain, extract, or prepare the source-defined component]</w:t>
      </w:r>
    </w:p>
    <w:p>
      <w:pPr>
        <w:ind w:left="288" w:hanging="288"/>
      </w:pPr>
      <w:r>
        <w:t>2. [Perform one installation action using exact settings]</w:t>
      </w:r>
    </w:p>
    <w:p>
      <w:pPr>
        <w:ind w:left="288" w:hanging="288"/>
      </w:pPr>
      <w:r>
        <w:t>3. [Verify the installation result]</w:t>
      </w:r>
    </w:p>
    <w:p>
      <w:r>
        <w:rPr>
          <w:b/>
        </w:rPr>
        <w:t>Exact command and expected output:</w:t>
      </w:r>
    </w:p>
    <w:p>
      <w:r>
        <w:rPr>
          <w:rFonts w:ascii="Consolas" w:hAnsi="Consolas"/>
          <w:sz w:val="18"/>
        </w:rPr>
        <w:t>[Source command]</w:t>
      </w:r>
    </w:p>
    <w:p>
      <w:r>
        <w:rPr>
          <w:rFonts w:ascii="Consolas" w:hAnsi="Consolas"/>
          <w:sz w:val="18"/>
        </w:rPr>
        <w:t>[Source expected output, when provided]</w:t>
      </w:r>
    </w:p>
    <w:p>
      <w:r>
        <w:rPr>
          <w:b/>
        </w:rPr>
        <w:t>Result evidence:</w:t>
      </w:r>
      <w:r>
        <w:t xml:space="preserve"> [Log, screenshot, or observed state]</w:t>
      </w:r>
    </w:p>
    <w:p>
      <w:pPr>
        <w:pStyle w:val="Heading1"/>
      </w:pPr>
      <w:r>
        <w:t>Configuration and Integration</w:t>
      </w:r>
    </w:p>
    <w:p>
      <w:pPr>
        <w:pStyle w:val="Heading2"/>
      </w:pPr>
      <w:r>
        <w:t>Configuration Reference</w:t>
      </w:r>
    </w:p>
    <w:tbl>
      <w:tblPr>
        <w:tblW w:type="auto" w:w="0"/>
        <w:jc w:val="center"/>
        <w:tblLayout w:type="fixed"/>
        <w:tblLook w:firstColumn="1" w:firstRow="1" w:lastColumn="0" w:lastRow="0" w:noHBand="0" w:noVBand="1" w:val="04A0"/>
      </w:tblPr>
      <w:tblGrid>
        <w:gridCol w:w="2760"/>
        <w:gridCol w:w="2622"/>
        <w:gridCol w:w="1518"/>
        <w:gridCol w:w="1518"/>
        <w:gridCol w:w="1518"/>
      </w:tblGrid>
      <w:tr>
        <w:trPr>
          <w:cantSplit/>
          <w:tblHeader/>
        </w:trPr>
        <w:tc>
          <w:tcPr>
            <w:tcW w:type="dxa" w:w="276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Setting or interface</w:t>
            </w:r>
          </w:p>
        </w:tc>
        <w:tc>
          <w:tcPr>
            <w:tcW w:type="dxa" w:w="262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Source-stated value</w:t>
            </w:r>
          </w:p>
        </w:tc>
        <w:tc>
          <w:tcPr>
            <w:tcW w:type="dxa" w:w="151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Purpose</w:t>
            </w:r>
          </w:p>
        </w:tc>
        <w:tc>
          <w:tcPr>
            <w:tcW w:type="dxa" w:w="151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Applies to</w:t>
            </w:r>
          </w:p>
        </w:tc>
        <w:tc>
          <w:tcPr>
            <w:tcW w:type="dxa" w:w="151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Evidence</w:t>
            </w:r>
          </w:p>
        </w:tc>
      </w:tr>
      <w:tr>
        <w:trPr>
          <w:cantSplit/>
        </w:trPr>
        <w:tc>
          <w:tcPr>
            <w:tcW w:type="dxa" w:w="276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[Setting]</w:t>
            </w:r>
          </w:p>
        </w:tc>
        <w:tc>
          <w:tcPr>
            <w:tcW w:type="dxa" w:w="262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[Exact value]</w:t>
            </w:r>
          </w:p>
        </w:tc>
        <w:tc>
          <w:tcPr>
            <w:tcW w:type="dxa" w:w="151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[Purpose]</w:t>
            </w:r>
          </w:p>
        </w:tc>
        <w:tc>
          <w:tcPr>
            <w:tcW w:type="dxa" w:w="151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[Environment or component]</w:t>
            </w:r>
          </w:p>
        </w:tc>
        <w:tc>
          <w:tcPr>
            <w:tcW w:type="dxa" w:w="151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pPr>
        <w:pStyle w:val="Heading2"/>
      </w:pPr>
      <w:r>
        <w:t>Configuration Procedure Pattern</w:t>
      </w:r>
    </w:p>
    <w:p>
      <w:r>
        <w:rPr>
          <w:b/>
        </w:rPr>
        <w:t>Purpose and dependencies:</w:t>
      </w:r>
      <w:r>
        <w:t xml:space="preserve"> [What is configured and what must exist first]</w:t>
      </w:r>
    </w:p>
    <w:p>
      <w:pPr>
        <w:ind w:left="288" w:hanging="288"/>
      </w:pPr>
      <w:r>
        <w:t>1. [Apply a source-defined configuration action]</w:t>
      </w:r>
    </w:p>
    <w:p>
      <w:pPr>
        <w:ind w:left="288" w:hanging="288"/>
      </w:pPr>
      <w:r>
        <w:t>2. [Connect or provision the relevant component]</w:t>
      </w:r>
    </w:p>
    <w:p>
      <w:pPr>
        <w:ind w:left="288" w:hanging="288"/>
      </w:pPr>
      <w:r>
        <w:t>3. [Verify the integration or resulting access]</w:t>
      </w:r>
    </w:p>
    <w:p>
      <w:r>
        <w:rPr>
          <w:b/>
        </w:rPr>
        <w:t>Data migration or conversion:</w:t>
      </w:r>
      <w:r>
        <w:t xml:space="preserve"> [Source-defined mapping, sequence, validation, and constraints; omit if unsupported]</w:t>
      </w:r>
    </w:p>
    <w:p>
      <w:pPr>
        <w:pStyle w:val="Heading1"/>
      </w:pPr>
      <w:r>
        <w:t>Verification and Go Live</w:t>
      </w:r>
    </w:p>
    <w:tbl>
      <w:tblPr>
        <w:tblW w:type="auto" w:w="0"/>
        <w:jc w:val="center"/>
        <w:tblLayout w:type="fixed"/>
        <w:tblLook w:firstColumn="1" w:firstRow="1" w:lastColumn="0" w:lastRow="0" w:noHBand="0" w:noVBand="1" w:val="04A0"/>
      </w:tblPr>
      <w:tblGrid>
        <w:gridCol w:w="1678"/>
        <w:gridCol w:w="2968"/>
        <w:gridCol w:w="1936"/>
        <w:gridCol w:w="1936"/>
        <w:gridCol w:w="1419"/>
      </w:tblGrid>
      <w:tr>
        <w:trPr>
          <w:cantSplit/>
          <w:tblHeader/>
        </w:trPr>
        <w:tc>
          <w:tcPr>
            <w:tcW w:type="dxa" w:w="167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Check or test</w:t>
            </w:r>
          </w:p>
        </w:tc>
        <w:tc>
          <w:tcPr>
            <w:tcW w:type="dxa" w:w="29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Preconditions and input</w:t>
            </w:r>
          </w:p>
        </w:tc>
        <w:tc>
          <w:tcPr>
            <w:tcW w:type="dxa" w:w="193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Expected result</w:t>
            </w:r>
          </w:p>
        </w:tc>
        <w:tc>
          <w:tcPr>
            <w:tcW w:type="dxa" w:w="193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Observed result</w:t>
            </w:r>
          </w:p>
        </w:tc>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Evidence</w:t>
            </w:r>
          </w:p>
        </w:tc>
      </w:tr>
      <w:tr>
        <w:trPr>
          <w:cantSplit/>
        </w:trPr>
        <w:tc>
          <w:tcPr>
            <w:tcW w:type="dxa" w:w="167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[Acceptance check]</w:t>
            </w:r>
          </w:p>
        </w:tc>
        <w:tc>
          <w:tcPr>
            <w:tcW w:type="dxa" w:w="29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[Conditions]</w:t>
            </w:r>
          </w:p>
        </w:tc>
        <w:tc>
          <w:tcPr>
            <w:tcW w:type="dxa" w:w="193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[Source-defined criterion]</w:t>
            </w:r>
          </w:p>
        </w:tc>
        <w:tc>
          <w:tcPr>
            <w:tcW w:type="dxa" w:w="193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[Record result]</w:t>
            </w:r>
          </w:p>
        </w:tc>
        <w:tc>
          <w:tcPr>
            <w:tcW w:type="dxa" w:w="141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[Reference]</w:t>
            </w:r>
          </w:p>
        </w:tc>
      </w:tr>
    </w:tbl>
    <w:p>
      <w:pPr>
        <w:spacing w:after="40"/>
      </w:pPr>
    </w:p>
    <w:p>
      <w:pPr>
        <w:pStyle w:val="Heading2"/>
      </w:pPr>
      <w:r>
        <w:t>Cutover and Handover</w:t>
      </w:r>
    </w:p>
    <w:p>
      <w:pPr>
        <w:ind w:left="288" w:hanging="288"/>
      </w:pPr>
      <w:r>
        <w:t>1. [Source-defined cutover action]</w:t>
      </w:r>
    </w:p>
    <w:p>
      <w:pPr>
        <w:ind w:left="288" w:hanging="288"/>
      </w:pPr>
      <w:r>
        <w:t>2. [Verify the intended live state]</w:t>
      </w:r>
    </w:p>
    <w:p>
      <w:pPr>
        <w:ind w:left="288" w:hanging="288"/>
      </w:pPr>
      <w:r>
        <w:t>3. [Perform the source-defined operational handoff]</w:t>
      </w:r>
    </w:p>
    <w:p>
      <w:r>
        <w:rPr>
          <w:b/>
        </w:rPr>
        <w:t>Go-live authority:</w:t>
      </w:r>
      <w:r>
        <w:t xml:space="preserve"> [Role, only when defined]</w:t>
      </w:r>
    </w:p>
    <w:p>
      <w:r>
        <w:rPr>
          <w:b/>
        </w:rPr>
        <w:t>Early support and training:</w:t>
      </w:r>
      <w:r>
        <w:t xml:space="preserve"> [Source-supported support arrangement or training reference]</w:t>
      </w:r>
    </w:p>
    <w:p>
      <w:pPr>
        <w:pStyle w:val="Heading1"/>
      </w:pPr>
      <w:r>
        <w:t>Back Out and Rollback</w:t>
      </w:r>
    </w:p>
    <w:p>
      <w:r>
        <w:t>Keep back-out and rollback distinct only when the source distinguishes them.</w:t>
      </w:r>
    </w:p>
    <w:p>
      <w:r>
        <w:rPr>
          <w:b/>
        </w:rPr>
        <w:t>Trigger criteria:</w:t>
      </w:r>
      <w:r>
        <w:t xml:space="preserve"> [Conditions that require a reversal]</w:t>
      </w:r>
    </w:p>
    <w:p>
      <w:r>
        <w:rPr>
          <w:b/>
        </w:rPr>
        <w:t>Deciding authority:</w:t>
      </w:r>
      <w:r>
        <w:t xml:space="preserve"> [Source-defined role]</w:t>
      </w:r>
    </w:p>
    <w:p>
      <w:r>
        <w:rPr>
          <w:b/>
        </w:rPr>
        <w:t>Risks and constraints:</w:t>
      </w:r>
      <w:r>
        <w:t xml:space="preserve"> [What the source warns can be lost or changed]</w:t>
      </w:r>
    </w:p>
    <w:tbl>
      <w:tblPr>
        <w:tblW w:type="auto" w:w="0"/>
        <w:jc w:val="center"/>
        <w:tblLayout w:type="fixed"/>
        <w:tblLook w:firstColumn="1" w:firstRow="1" w:lastColumn="0" w:lastRow="0" w:noHBand="0" w:noVBand="1" w:val="04A0"/>
      </w:tblPr>
      <w:tblGrid>
        <w:gridCol w:w="1561"/>
        <w:gridCol w:w="2129"/>
        <w:gridCol w:w="3265"/>
        <w:gridCol w:w="2981"/>
      </w:tblGrid>
      <w:tr>
        <w:trPr>
          <w:cantSplit/>
          <w:tblHeader/>
        </w:trPr>
        <w:tc>
          <w:tcPr>
            <w:tcW w:type="dxa" w:w="156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Step</w:t>
            </w:r>
          </w:p>
        </w:tc>
        <w:tc>
          <w:tcPr>
            <w:tcW w:type="dxa" w:w="212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Reversal action</w:t>
            </w:r>
          </w:p>
        </w:tc>
        <w:tc>
          <w:tcPr>
            <w:tcW w:type="dxa" w:w="326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Expected restored state</w:t>
            </w:r>
          </w:p>
        </w:tc>
        <w:tc>
          <w:tcPr>
            <w:tcW w:type="dxa" w:w="298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Verification evidence</w:t>
            </w:r>
          </w:p>
        </w:tc>
      </w:tr>
      <w:tr>
        <w:trPr>
          <w:cantSplit/>
        </w:trPr>
        <w:tc>
          <w:tcPr>
            <w:tcW w:type="dxa" w:w="156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[Number]</w:t>
            </w:r>
          </w:p>
        </w:tc>
        <w:tc>
          <w:tcPr>
            <w:tcW w:type="dxa" w:w="2129"/>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[Source-defined action]</w:t>
            </w:r>
          </w:p>
        </w:tc>
        <w:tc>
          <w:tcPr>
            <w:tcW w:type="dxa" w:w="326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[State]</w:t>
            </w:r>
          </w:p>
        </w:tc>
        <w:tc>
          <w:tcPr>
            <w:tcW w:type="dxa" w:w="2981"/>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w:t>
            </w:r>
          </w:p>
        </w:tc>
      </w:tr>
    </w:tbl>
    <w:p>
      <w:pPr>
        <w:spacing w:after="40"/>
      </w:pPr>
    </w:p>
    <w:p>
      <w:pPr>
        <w:pStyle w:val="Heading1"/>
      </w:pPr>
      <w:r>
        <w:t>Operate and Maintain</w:t>
      </w:r>
    </w:p>
    <w:p>
      <w:pPr>
        <w:pStyle w:val="Heading2"/>
      </w:pPr>
      <w:r>
        <w:t>Maintenance Procedure Pattern</w:t>
      </w:r>
    </w:p>
    <w:p>
      <w:r>
        <w:rPr>
          <w:b/>
        </w:rPr>
        <w:t>Task, trigger, and prerequisites:</w:t>
      </w:r>
      <w:r>
        <w:t xml:space="preserve"> [Monitoring, upgrade, removal, or decommissioning task]</w:t>
      </w:r>
    </w:p>
    <w:p>
      <w:pPr>
        <w:ind w:left="288" w:hanging="288"/>
      </w:pPr>
      <w:r>
        <w:t>1. [Source-supported maintenance action]</w:t>
      </w:r>
    </w:p>
    <w:p>
      <w:pPr>
        <w:ind w:left="288" w:hanging="288"/>
      </w:pPr>
      <w:r>
        <w:t>2. [Source-supported verification]</w:t>
      </w:r>
    </w:p>
    <w:p>
      <w:r>
        <w:rPr>
          <w:b/>
        </w:rPr>
        <w:t>Operational references:</w:t>
      </w:r>
      <w:r>
        <w:t xml:space="preserve"> [Related runbook, dashboard, or support document title]</w:t>
      </w:r>
    </w:p>
    <w:p>
      <w:pPr>
        <w:pStyle w:val="Heading1"/>
      </w:pPr>
      <w:r>
        <w:t>Troubleshooting</w:t>
      </w:r>
    </w:p>
    <w:tbl>
      <w:tblPr>
        <w:tblW w:type="auto" w:w="0"/>
        <w:jc w:val="center"/>
        <w:tblLayout w:type="fixed"/>
        <w:tblLook w:firstColumn="1" w:firstRow="1" w:lastColumn="0" w:lastRow="0" w:noHBand="0" w:noVBand="1" w:val="04A0"/>
      </w:tblPr>
      <w:tblGrid>
        <w:gridCol w:w="2448"/>
        <w:gridCol w:w="1800"/>
        <w:gridCol w:w="1872"/>
        <w:gridCol w:w="1944"/>
        <w:gridCol w:w="1872"/>
      </w:tblGrid>
      <w:tr>
        <w:trPr>
          <w:cantSplit/>
          <w:tblHeader/>
        </w:trPr>
        <w:tc>
          <w:tcPr>
            <w:tcW w:type="dxa" w:w="24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Observable symptom or exact error</w:t>
            </w:r>
          </w:p>
        </w:tc>
        <w:tc>
          <w:tcPr>
            <w:tcW w:type="dxa" w:w="180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Diagnostic check</w:t>
            </w:r>
          </w:p>
        </w:tc>
        <w:tc>
          <w:tcPr>
            <w:tcW w:type="dxa" w:w="187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Source-supported cause</w:t>
            </w:r>
          </w:p>
        </w:tc>
        <w:tc>
          <w:tcPr>
            <w:tcW w:type="dxa" w:w="194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Resolution</w:t>
            </w:r>
          </w:p>
        </w:tc>
        <w:tc>
          <w:tcPr>
            <w:tcW w:type="dxa" w:w="187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Verification</w:t>
            </w:r>
          </w:p>
        </w:tc>
      </w:tr>
      <w:tr>
        <w:trPr>
          <w:cantSplit/>
        </w:trPr>
        <w:tc>
          <w:tcPr>
            <w:tcW w:type="dxa" w:w="24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[Symptom]</w:t>
            </w:r>
          </w:p>
        </w:tc>
        <w:tc>
          <w:tcPr>
            <w:tcW w:type="dxa" w:w="180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w:t>
            </w:r>
          </w:p>
        </w:tc>
        <w:tc>
          <w:tcPr>
            <w:tcW w:type="dxa" w:w="187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[Cause]</w:t>
            </w:r>
          </w:p>
        </w:tc>
        <w:tc>
          <w:tcPr>
            <w:tcW w:type="dxa" w:w="194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[Task or procedure reference]</w:t>
            </w:r>
          </w:p>
        </w:tc>
        <w:tc>
          <w:tcPr>
            <w:tcW w:type="dxa" w:w="1872"/>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[Expected result]</w:t>
            </w:r>
          </w:p>
        </w:tc>
      </w:tr>
    </w:tbl>
    <w:p>
      <w:pPr>
        <w:spacing w:after="40"/>
      </w:pPr>
    </w:p>
    <w:p>
      <w:pPr>
        <w:pStyle w:val="Heading1"/>
      </w:pPr>
      <w:r>
        <w:t>Appendices</w:t>
      </w:r>
    </w:p>
    <w:p>
      <w:pPr>
        <w:pStyle w:val="Heading2"/>
      </w:pPr>
      <w:r>
        <w:t>Reference Documents</w:t>
      </w:r>
    </w:p>
    <w:tbl>
      <w:tblPr>
        <w:tblW w:type="auto" w:w="0"/>
        <w:jc w:val="center"/>
        <w:tblLayout w:type="fixed"/>
        <w:tblLook w:firstColumn="1" w:firstRow="1" w:lastColumn="0" w:lastRow="0" w:noHBand="0" w:noVBand="1" w:val="04A0"/>
      </w:tblPr>
      <w:tblGrid>
        <w:gridCol w:w="3776"/>
        <w:gridCol w:w="2186"/>
        <w:gridCol w:w="3974"/>
      </w:tblGrid>
      <w:tr>
        <w:trPr>
          <w:cantSplit/>
          <w:tblHeader/>
        </w:trPr>
        <w:tc>
          <w:tcPr>
            <w:tcW w:type="dxa" w:w="377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Title or identifier</w:t>
            </w:r>
          </w:p>
        </w:tc>
        <w:tc>
          <w:tcPr>
            <w:tcW w:type="dxa" w:w="218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Purpose</w:t>
            </w:r>
          </w:p>
        </w:tc>
        <w:tc>
          <w:tcPr>
            <w:tcW w:type="dxa" w:w="397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Applicable component</w:t>
            </w:r>
          </w:p>
        </w:tc>
      </w:tr>
      <w:tr>
        <w:trPr>
          <w:cantSplit/>
        </w:trPr>
        <w:tc>
          <w:tcPr>
            <w:tcW w:type="dxa" w:w="377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[Exact source title]</w:t>
            </w:r>
          </w:p>
        </w:tc>
        <w:tc>
          <w:tcPr>
            <w:tcW w:type="dxa" w:w="218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[Use]</w:t>
            </w:r>
          </w:p>
        </w:tc>
        <w:tc>
          <w:tcPr>
            <w:tcW w:type="dxa" w:w="3974"/>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[Component]</w:t>
            </w:r>
          </w:p>
        </w:tc>
      </w:tr>
    </w:tbl>
    <w:p>
      <w:pPr>
        <w:spacing w:after="40"/>
      </w:pPr>
    </w:p>
    <w:p>
      <w:pPr>
        <w:pStyle w:val="Heading2"/>
      </w:pPr>
      <w:r>
        <w:t>Glossary</w:t>
      </w:r>
    </w:p>
    <w:tbl>
      <w:tblPr>
        <w:tblW w:type="auto" w:w="0"/>
        <w:jc w:val="center"/>
        <w:tblLayout w:type="fixed"/>
        <w:tblLook w:firstColumn="1" w:firstRow="1" w:lastColumn="0" w:lastRow="0" w:noHBand="0" w:noVBand="1" w:val="04A0"/>
      </w:tblPr>
      <w:tblGrid>
        <w:gridCol w:w="4056"/>
        <w:gridCol w:w="5880"/>
      </w:tblGrid>
      <w:tr>
        <w:trPr>
          <w:cantSplit/>
          <w:tblHeader/>
        </w:trPr>
        <w:tc>
          <w:tcPr>
            <w:tcW w:type="dxa" w:w="405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Term or abbreviation</w:t>
            </w:r>
          </w:p>
        </w:tc>
        <w:tc>
          <w:tcPr>
            <w:tcW w:type="dxa" w:w="588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spacing w:after="40" w:before="40" w:line="259" w:lineRule="auto"/>
            </w:pPr>
            <w:r>
              <w:rPr>
                <w:b/>
                <w:sz w:val="19"/>
              </w:rPr>
              <w:t>Definition used in the source</w:t>
            </w:r>
          </w:p>
        </w:tc>
      </w:tr>
      <w:tr>
        <w:trPr>
          <w:cantSplit/>
        </w:trPr>
        <w:tc>
          <w:tcPr>
            <w:tcW w:type="dxa" w:w="4056"/>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[Term]</w:t>
            </w:r>
          </w:p>
        </w:tc>
        <w:tc>
          <w:tcPr>
            <w:tcW w:type="dxa" w:w="5880"/>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[Definition]</w:t>
            </w:r>
          </w:p>
        </w:tc>
      </w:tr>
    </w:tbl>
    <w:p>
      <w:pPr>
        <w:spacing w:after="40"/>
      </w:pPr>
    </w:p>
    <w:p>
      <w:pPr>
        <w:pStyle w:val="Heading2"/>
      </w:pPr>
      <w:r>
        <w:t>Document Review</w:t>
      </w:r>
    </w:p>
    <w:p>
      <w:r>
        <w:rPr>
          <w:b/>
        </w:rPr>
        <w:t>Coverage and accuracy:</w:t>
      </w:r>
      <w:r>
        <w:t xml:space="preserve"> [Confirm source traceability, exact values, warning placement, and completed verification]</w:t>
      </w:r>
    </w:p>
    <w:p>
      <w:r>
        <w:rPr>
          <w:b/>
        </w:rPr>
        <w:t>Review and approval:</w:t>
      </w:r>
      <w:r>
        <w:t xml:space="preserve"> [Record the requirements of the existing document-control process]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and Deployment Guide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