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Document Retention Policy</w:t>
      </w:r>
    </w:p>
    <w:bookmarkStart w:id="21" w:name="document-retention-policy"/>
    <w:p>
      <w:pPr>
        <w:pStyle w:val="Heading1"/>
      </w:pPr>
      <w:r>
        <w:t xml:space="preserve">Document Retention Policy</w:t>
      </w:r>
    </w:p>
    <w:p>
      <w:pPr>
        <w:pStyle w:val="BlockText"/>
      </w:pPr>
      <w:r>
        <w:t xml:space="preserve">Use this template to retention schedule for [document types] at a law firm.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Legal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policy-statement"/>
    <w:p>
      <w:pPr>
        <w:pStyle w:val="Heading2"/>
      </w:pPr>
      <w:r>
        <w:t xml:space="preserve">Policy Statement</w:t>
      </w:r>
    </w:p>
    <w:p>
      <w:pPr>
        <w:pStyle w:val="FirstParagraph"/>
      </w:pPr>
      <w:r>
        <w:t xml:space="preserve">State the firm’s commitment to systematic document retention and destruction. Reference applicable rules of professional conduct and regulatory requirements.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retention-schedule"/>
    <w:p>
      <w:pPr>
        <w:pStyle w:val="Heading2"/>
      </w:pPr>
      <w:r>
        <w:t xml:space="preserve">Retention Schedule</w:t>
      </w:r>
    </w:p>
    <w:p>
      <w:pPr>
        <w:pStyle w:val="FirstParagraph"/>
      </w:pPr>
      <w:r>
        <w:t xml:space="preserve">Create a comprehensive table listing document categories, description, retention period, trigger event (e.g., matter closure, termination of engagement), and legal authority or rationale for the retention period.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destruction-procedures"/>
    <w:p>
      <w:pPr>
        <w:pStyle w:val="Heading2"/>
      </w:pPr>
      <w:r>
        <w:t xml:space="preserve">Destruction Procedures</w:t>
      </w:r>
    </w:p>
    <w:p>
      <w:pPr>
        <w:pStyle w:val="FirstParagraph"/>
      </w:pPr>
      <w:r>
        <w:t xml:space="preserve">Describe the approved methods for destroying physical and electronic documents. Include authorization requirements, verification steps, and documentation of destruction.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legal-hold-exceptions"/>
    <w:p>
      <w:pPr>
        <w:pStyle w:val="Heading2"/>
      </w:pPr>
      <w:r>
        <w:t xml:space="preserve">Legal Hold Exceptions</w:t>
      </w:r>
    </w:p>
    <w:p>
      <w:pPr>
        <w:pStyle w:val="FirstParagraph"/>
      </w:pPr>
      <w:r>
        <w:t xml:space="preserve">Explain when and how the standard retention schedule is suspended. Cover litigation holds, regulatory investigations, and audit preservation notices. Describe the process for issuing, tracking, and releasing legal holds.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responsible-parties"/>
    <w:p>
      <w:pPr>
        <w:pStyle w:val="Heading2"/>
      </w:pPr>
      <w:r>
        <w:t xml:space="preserve">Responsible Parties</w:t>
      </w:r>
    </w:p>
    <w:p>
      <w:pPr>
        <w:pStyle w:val="FirstParagraph"/>
      </w:pPr>
      <w:r>
        <w:t xml:space="preserve">Define roles and responsibilities for policy implementation, including the Records Manager, Practice Group Leaders, and individual attorneys. Use tables. Be precise about retention periods and cite applicable rules.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0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0"/>
    <w:bookmarkEnd w:id="2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Retention Policy</dc:title>
  <dc:creator/>
  <cp:keywords/>
  <dcterms:created xsi:type="dcterms:W3CDTF">2026-05-05T18:41:45Z</dcterms:created>
  <dcterms:modified xsi:type="dcterms:W3CDTF">2026-05-05T18:41:45Z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