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Conflict of Interest Check</w:t>
      </w:r>
    </w:p>
    <w:bookmarkStart w:id="20" w:name="conflict-of-interest-check"/>
    <w:p>
      <w:pPr>
        <w:pStyle w:val="Heading1"/>
      </w:pPr>
      <w:r>
        <w:t xml:space="preserve">Conflict of Interest Check</w:t>
      </w:r>
    </w:p>
    <w:p>
      <w:pPr>
        <w:pStyle w:val="BlockText"/>
      </w:pPr>
      <w:r>
        <w:t xml:space="preserve">Use this template to cOI screening for [matter type].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Legal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search-methodology"/>
    <w:p>
      <w:pPr>
        <w:pStyle w:val="Heading2"/>
      </w:pPr>
      <w:r>
        <w:t xml:space="preserve">Search Methodology</w:t>
      </w:r>
    </w:p>
    <w:p>
      <w:pPr>
        <w:pStyle w:val="FirstParagraph"/>
      </w:pPr>
      <w:r>
        <w:t xml:space="preserve">Describe the systematic approach to identifying conflicts. Specify what information must be collected from the prospective client, how to identify all parties and related entities, and what sources to search.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database-queries"/>
    <w:p>
      <w:pPr>
        <w:pStyle w:val="Heading2"/>
      </w:pPr>
      <w:r>
        <w:t xml:space="preserve">Database Queries</w:t>
      </w:r>
    </w:p>
    <w:p>
      <w:pPr>
        <w:pStyle w:val="FirstParagraph"/>
      </w:pPr>
      <w:r>
        <w:t xml:space="preserve">Detail the specific searches to run in the firm’s conflict database. Include search terms, variations, aliases, and affiliated entities. Describe how to search for corporate families, subsidiaries, and related.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review-criteria"/>
    <w:p>
      <w:pPr>
        <w:pStyle w:val="Heading2"/>
      </w:pPr>
      <w:r>
        <w:t xml:space="preserve">Review Criteria</w:t>
      </w:r>
    </w:p>
    <w:p>
      <w:pPr>
        <w:pStyle w:val="FirstParagraph"/>
      </w:pPr>
      <w:r>
        <w:t xml:space="preserve">Define what constitutes a conflict under the applicable Rules of Professional Conduct (current client conflicts, former client conflicts, imputed conflicts). Provide decision criteria for common scenarios with clear.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escalation-process"/>
    <w:p>
      <w:pPr>
        <w:pStyle w:val="Heading2"/>
      </w:pPr>
      <w:r>
        <w:t xml:space="preserve">Escalation Process</w:t>
      </w:r>
    </w:p>
    <w:p>
      <w:pPr>
        <w:pStyle w:val="FirstParagraph"/>
      </w:pPr>
      <w:r>
        <w:t xml:space="preserve">Describe the workflow when a potential conflict is identified: who reviews, timeline for resolution, and how to handle ambiguous situations. Include the role of the Ethics Committee or designated Ethics Partner.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waiver-procedures"/>
    <w:p>
      <w:pPr>
        <w:pStyle w:val="Heading2"/>
      </w:pPr>
      <w:r>
        <w:t xml:space="preserve">Waiver Procedures</w:t>
      </w:r>
    </w:p>
    <w:p>
      <w:pPr>
        <w:pStyle w:val="FirstParagraph"/>
      </w:pPr>
      <w:r>
        <w:t xml:space="preserve">Explain when a conflict may be waived with informed consent, the requirements for a valid waiver, who must consent, and how to document the waiver. Reference applicable RPC rules. Use flowchart-style descriptions and.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End w:id="2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of Interest Check</dc:title>
  <dc:creator/>
  <cp:keywords/>
  <dcterms:created xsi:type="dcterms:W3CDTF">2026-05-05T18:41:43Z</dcterms:created>
  <dcterms:modified xsi:type="dcterms:W3CDTF">2026-05-05T18:41:43Z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