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Guest Service Recovery Playbook</w:t>
      </w:r>
    </w:p>
    <w:bookmarkStart w:id="25" w:name="guest-service-recovery-playbook"/>
    <w:p>
      <w:pPr>
        <w:pStyle w:val="Heading1"/>
      </w:pPr>
      <w:r>
        <w:t xml:space="preserve">Guest Service Recovery Playbook</w:t>
      </w:r>
    </w:p>
    <w:p>
      <w:pPr>
        <w:pStyle w:val="BlockText"/>
      </w:pPr>
      <w:r>
        <w:t xml:space="preserve">Use this template to response guide for guest complaints, delays, and service failures.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ervice-principles"/>
    <w:p>
      <w:pPr>
        <w:pStyle w:val="Heading2"/>
      </w:pPr>
      <w:r>
        <w:t xml:space="preserve">Service Principles</w:t>
      </w:r>
    </w:p>
    <w:p>
      <w:pPr>
        <w:pStyle w:val="FirstParagraph"/>
      </w:pPr>
      <w:r>
        <w:t xml:space="preserve">State tone, authority, empathy standards, and guest privacy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ssue-categories"/>
    <w:p>
      <w:pPr>
        <w:pStyle w:val="Heading2"/>
      </w:pPr>
      <w:r>
        <w:t xml:space="preserve">Issue Categories</w:t>
      </w:r>
    </w:p>
    <w:p>
      <w:pPr>
        <w:pStyle w:val="FirstParagraph"/>
      </w:pPr>
      <w:r>
        <w:t xml:space="preserve">Classify common service failures by severity and likely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mediate-response"/>
    <w:p>
      <w:pPr>
        <w:pStyle w:val="Heading2"/>
      </w:pPr>
      <w:r>
        <w:t xml:space="preserve">Immediate Response</w:t>
      </w:r>
    </w:p>
    <w:p>
      <w:pPr>
        <w:pStyle w:val="FirstParagraph"/>
      </w:pPr>
      <w:r>
        <w:t xml:space="preserve">Provide first-contact steps for acknowledging, apologizing, and stabilizing the situation.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lution-options"/>
    <w:p>
      <w:pPr>
        <w:pStyle w:val="Heading2"/>
      </w:pPr>
      <w:r>
        <w:t xml:space="preserve">Resolution Options</w:t>
      </w:r>
    </w:p>
    <w:p>
      <w:pPr>
        <w:pStyle w:val="FirstParagraph"/>
      </w:pPr>
      <w:r>
        <w:t xml:space="preserve">List approved remedies, approval thresholds, and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ocumentation"/>
    <w:p>
      <w:pPr>
        <w:pStyle w:val="Heading2"/>
      </w:pPr>
      <w:r>
        <w:t xml:space="preserve">Documentation</w:t>
      </w:r>
    </w:p>
    <w:p>
      <w:pPr>
        <w:pStyle w:val="FirstParagraph"/>
      </w:pPr>
      <w:r>
        <w:t xml:space="preserve">Define required fields, incident log location, and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scalation"/>
    <w:p>
      <w:pPr>
        <w:pStyle w:val="Heading2"/>
      </w:pPr>
      <w:r>
        <w:t xml:space="preserve">Escalation</w:t>
      </w:r>
    </w:p>
    <w:p>
      <w:pPr>
        <w:pStyle w:val="FirstParagraph"/>
      </w:pPr>
      <w:r>
        <w:t xml:space="preserve">Explain when to involve a manager, security, food safety, or corporate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ollow-up"/>
    <w:p>
      <w:pPr>
        <w:pStyle w:val="Heading2"/>
      </w:pPr>
      <w:r>
        <w:t xml:space="preserve">Follow-Up</w:t>
      </w:r>
    </w:p>
    <w:p>
      <w:pPr>
        <w:pStyle w:val="FirstParagraph"/>
      </w:pPr>
      <w:r>
        <w:t xml:space="preserve">Describe guest callbacks, refunds, loyalty credits, and internal review. Use practical scripts and concise decision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Service Recovery Playbook</dc:title>
  <dc:creator/>
  <cp:keywords/>
  <dcterms:created xsi:type="dcterms:W3CDTF">2026-05-05T18:40:33Z</dcterms:created>
  <dcterms:modified xsi:type="dcterms:W3CDTF">2026-05-05T18:40:33Z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