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Patient Care Procedure</w:t>
      </w:r>
    </w:p>
    <w:bookmarkStart w:id="27" w:name="patient-care-procedure"/>
    <w:p>
      <w:pPr>
        <w:pStyle w:val="Heading1"/>
      </w:pPr>
      <w:r>
        <w:t xml:space="preserve">Patient Care Procedure</w:t>
      </w:r>
    </w:p>
    <w:p>
      <w:pPr>
        <w:pStyle w:val="BlockText"/>
      </w:pPr>
      <w:r>
        <w:t xml:space="preserve">Use this template to care procedure for [condition/treatment] with milestones and discharge criteria.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scope"/>
    <w:p>
      <w:pPr>
        <w:pStyle w:val="Heading2"/>
      </w:pPr>
      <w:r>
        <w:t xml:space="preserve">Purpose &amp; Scope</w:t>
      </w:r>
    </w:p>
    <w:p>
      <w:pPr>
        <w:pStyle w:val="FirstParagraph"/>
      </w:pPr>
      <w:r>
        <w:t xml:space="preserve">Clinical context, patient population, and care setting (ward, ICU, outpatient).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atient-assessment"/>
    <w:p>
      <w:pPr>
        <w:pStyle w:val="Heading2"/>
      </w:pPr>
      <w:r>
        <w:t xml:space="preserve">Patient Assessment</w:t>
      </w:r>
    </w:p>
    <w:p>
      <w:pPr>
        <w:pStyle w:val="FirstParagraph"/>
      </w:pPr>
      <w:r>
        <w:t xml:space="preserve">Initial assessment checklist, vital sign monitoring frequency, pain assessment tool, and neurovascular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are-protocol"/>
    <w:p>
      <w:pPr>
        <w:pStyle w:val="Heading2"/>
      </w:pPr>
      <w:r>
        <w:t xml:space="preserve">Care Protocol</w:t>
      </w:r>
    </w:p>
    <w:p>
      <w:pPr>
        <w:pStyle w:val="FirstParagraph"/>
      </w:pPr>
      <w:r>
        <w:t xml:space="preserve">Day-by-day or phase-based care plan with specific nursing interventions, medications, wound care, and nutrition.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in-management"/>
    <w:p>
      <w:pPr>
        <w:pStyle w:val="Heading2"/>
      </w:pPr>
      <w:r>
        <w:t xml:space="preserve">Pain Management</w:t>
      </w:r>
    </w:p>
    <w:p>
      <w:pPr>
        <w:pStyle w:val="FirstParagraph"/>
      </w:pPr>
      <w:r>
        <w:t xml:space="preserve">Multimodal pain management plan with medication table (drug, dose, route, frequency), pain score targets, and escalation pathway.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obility-milestones"/>
    <w:p>
      <w:pPr>
        <w:pStyle w:val="Heading2"/>
      </w:pPr>
      <w:r>
        <w:t xml:space="preserve">Mobility Milestones</w:t>
      </w:r>
    </w:p>
    <w:p>
      <w:pPr>
        <w:pStyle w:val="FirstParagraph"/>
      </w:pPr>
      <w:r>
        <w:t xml:space="preserve">Progressive mobility goals with timeline (e.g., Day 0: bed exercises, Day 1: chair transfer, Day 2: ambulation with walker).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lication-monitoring"/>
    <w:p>
      <w:pPr>
        <w:pStyle w:val="Heading2"/>
      </w:pPr>
      <w:r>
        <w:t xml:space="preserve">Complication Monitoring</w:t>
      </w:r>
    </w:p>
    <w:p>
      <w:pPr>
        <w:pStyle w:val="FirstParagraph"/>
      </w:pPr>
      <w:r>
        <w:t xml:space="preserve">Signs and symptoms to monitor, early warning criteria, and escalation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ischarge-criteria"/>
    <w:p>
      <w:pPr>
        <w:pStyle w:val="Heading2"/>
      </w:pPr>
      <w:r>
        <w:t xml:space="preserve">Discharge Criteria</w:t>
      </w:r>
    </w:p>
    <w:p>
      <w:pPr>
        <w:pStyle w:val="FirstParagraph"/>
      </w:pPr>
      <w:r>
        <w:t xml:space="preserve">Specific measurable criteria that must be met before discharge.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patient-education"/>
    <w:p>
      <w:pPr>
        <w:pStyle w:val="Heading2"/>
      </w:pPr>
      <w:r>
        <w:t xml:space="preserve">Patient Education</w:t>
      </w:r>
    </w:p>
    <w:p>
      <w:pPr>
        <w:pStyle w:val="FirstParagraph"/>
      </w:pPr>
      <w:r>
        <w:t xml:space="preserve">Key teaching points for patient and family before discharge. Use tables for medication schedules, milestone timelines, and assessment checklists.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 Procedure</dc:title>
  <dc:creator/>
  <cp:keywords/>
  <dcterms:created xsi:type="dcterms:W3CDTF">2026-05-05T18:40:21Z</dcterms:created>
  <dcterms:modified xsi:type="dcterms:W3CDTF">2026-05-05T18:40:21Z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