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HIPAA Compliance Procedure</w:t>
      </w:r>
    </w:p>
    <w:bookmarkStart w:id="27" w:name="hipaa-compliance-procedure"/>
    <w:p>
      <w:pPr>
        <w:pStyle w:val="Heading1"/>
      </w:pPr>
      <w:r>
        <w:t xml:space="preserve">HIPAA Compliance Procedure</w:t>
      </w:r>
    </w:p>
    <w:p>
      <w:pPr>
        <w:pStyle w:val="BlockText"/>
      </w:pPr>
      <w:r>
        <w:t xml:space="preserve">Use this template to data handling for [system/process] with PHI rules and breach reporting.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Healthcare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-regulatory-basis"/>
    <w:p>
      <w:pPr>
        <w:pStyle w:val="Heading2"/>
      </w:pPr>
      <w:r>
        <w:t xml:space="preserve">Purpose &amp; Regulatory Basis</w:t>
      </w:r>
    </w:p>
    <w:p>
      <w:pPr>
        <w:pStyle w:val="FirstParagraph"/>
      </w:pPr>
      <w:r>
        <w:t xml:space="preserve">Cite applicable HIPAA rules (Privacy Rule, Security Rule, Breach Notification Rule) and the system or process covered.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hi-definition-scope"/>
    <w:p>
      <w:pPr>
        <w:pStyle w:val="Heading2"/>
      </w:pPr>
      <w:r>
        <w:t xml:space="preserve">PHI Definition &amp; Scope</w:t>
      </w:r>
    </w:p>
    <w:p>
      <w:pPr>
        <w:pStyle w:val="FirstParagraph"/>
      </w:pPr>
      <w:r>
        <w:t xml:space="preserve">Define Protected Health Information in the context of this procedure. List the 18 HIPAA identifiers relevant to the system. Specify what data elements are present.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access-control"/>
    <w:p>
      <w:pPr>
        <w:pStyle w:val="Heading2"/>
      </w:pPr>
      <w:r>
        <w:t xml:space="preserve">Access Control</w:t>
      </w:r>
    </w:p>
    <w:p>
      <w:pPr>
        <w:pStyle w:val="FirstParagraph"/>
      </w:pPr>
      <w:r>
        <w:t xml:space="preserve">Role-based access levels table showing each role, data access scope, and authentication requirements. Include provisioning and de-provisioning procedures.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minimum-necessary-standard"/>
    <w:p>
      <w:pPr>
        <w:pStyle w:val="Heading2"/>
      </w:pPr>
      <w:r>
        <w:t xml:space="preserve">Minimum Necessary Standard</w:t>
      </w:r>
    </w:p>
    <w:p>
      <w:pPr>
        <w:pStyle w:val="FirstParagraph"/>
      </w:pPr>
      <w:r>
        <w:t xml:space="preserve">How the minimum necessary standard is enforced for this system, with examples for each user role.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udit-monitoring"/>
    <w:p>
      <w:pPr>
        <w:pStyle w:val="Heading2"/>
      </w:pPr>
      <w:r>
        <w:t xml:space="preserve">Audit &amp; Monitoring</w:t>
      </w:r>
    </w:p>
    <w:p>
      <w:pPr>
        <w:pStyle w:val="FirstParagraph"/>
      </w:pPr>
      <w:r>
        <w:t xml:space="preserve">Audit log requirements, log retention period, review frequency, and automated alerting for suspicious access patterns.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breach-identification-reporting"/>
    <w:p>
      <w:pPr>
        <w:pStyle w:val="Heading2"/>
      </w:pPr>
      <w:r>
        <w:t xml:space="preserve">Breach Identification &amp; Reporting</w:t>
      </w:r>
    </w:p>
    <w:p>
      <w:pPr>
        <w:pStyle w:val="FirstParagraph"/>
      </w:pPr>
      <w:r>
        <w:t xml:space="preserve">Breach risk assessment methodology, notification timelines (60-day rule for individuals, immediate for HHS), and breach response team contacts.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workforce-training"/>
    <w:p>
      <w:pPr>
        <w:pStyle w:val="Heading2"/>
      </w:pPr>
      <w:r>
        <w:t xml:space="preserve">Workforce Training</w:t>
      </w:r>
    </w:p>
    <w:p>
      <w:pPr>
        <w:pStyle w:val="FirstParagraph"/>
      </w:pPr>
      <w:r>
        <w:t xml:space="preserve">Required HIPAA training topics, frequency, documentation, and new hire onboarding timeline.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5" w:name="sanctions"/>
    <w:p>
      <w:pPr>
        <w:pStyle w:val="Heading2"/>
      </w:pPr>
      <w:r>
        <w:t xml:space="preserve">Sanctions</w:t>
      </w:r>
    </w:p>
    <w:p>
      <w:pPr>
        <w:pStyle w:val="FirstParagraph"/>
      </w:pPr>
      <w:r>
        <w:t xml:space="preserve">Sanctions for non-compliance aligned with organizational policy. Use tables for access levels and audit requirements. Reference specific CFR sections.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4" w:name="notes-7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4"/>
    <w:bookmarkEnd w:id="25"/>
    <w:bookmarkStart w:id="26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 Compliance Procedure</dc:title>
  <dc:creator/>
  <cp:keywords/>
  <dcterms:created xsi:type="dcterms:W3CDTF">2026-05-05T18:40:12Z</dcterms:created>
  <dcterms:modified xsi:type="dcterms:W3CDTF">2026-05-05T18:40:12Z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