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KYC/AML Procedure</w:t>
      </w:r>
    </w:p>
    <w:bookmarkStart w:id="21" w:name="kycaml-procedure"/>
    <w:p>
      <w:pPr>
        <w:pStyle w:val="Heading1"/>
      </w:pPr>
      <w:r>
        <w:t xml:space="preserve">KYC/AML Procedure</w:t>
      </w:r>
    </w:p>
    <w:p>
      <w:pPr>
        <w:pStyle w:val="BlockText"/>
      </w:pPr>
      <w:r>
        <w:t xml:space="preserve">Use this template to customer due diligence for [account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ustomer-identification-requirements"/>
    <w:p>
      <w:pPr>
        <w:pStyle w:val="Heading2"/>
      </w:pPr>
      <w:r>
        <w:t xml:space="preserve">Customer Identification Requirements</w:t>
      </w:r>
    </w:p>
    <w:p>
      <w:pPr>
        <w:pStyle w:val="FirstParagraph"/>
      </w:pPr>
      <w:r>
        <w:t xml:space="preserve">Detail the documents and information required for identity verification. Use a table listing document types, acceptable forms, and verification methods for both individuals and entities.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scoring-matrix"/>
    <w:p>
      <w:pPr>
        <w:pStyle w:val="Heading2"/>
      </w:pPr>
      <w:r>
        <w:t xml:space="preserve">Risk Scoring Matrix</w:t>
      </w:r>
    </w:p>
    <w:p>
      <w:pPr>
        <w:pStyle w:val="FirstParagraph"/>
      </w:pPr>
      <w:r>
        <w:t xml:space="preserve">Define the risk categories (low, medium, high, prohibited) and the factors that determine each score. Use a table mapping risk factors to point values and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nhanced-due-diligence-triggers"/>
    <w:p>
      <w:pPr>
        <w:pStyle w:val="Heading2"/>
      </w:pPr>
      <w:r>
        <w:t xml:space="preserve">Enhanced Due Diligence Triggers</w:t>
      </w:r>
    </w:p>
    <w:p>
      <w:pPr>
        <w:pStyle w:val="FirstParagraph"/>
      </w:pPr>
      <w:r>
        <w:t xml:space="preserve">List the specific conditions that trigger EDD, such as PEP status, high-risk jurisdictions, unusual transaction patterns, and adverse media hits.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ngoing-monitoring"/>
    <w:p>
      <w:pPr>
        <w:pStyle w:val="Heading2"/>
      </w:pPr>
      <w:r>
        <w:t xml:space="preserve">Ongoing Monitoring</w:t>
      </w:r>
    </w:p>
    <w:p>
      <w:pPr>
        <w:pStyle w:val="FirstParagraph"/>
      </w:pPr>
      <w:r>
        <w:t xml:space="preserve">Describe the continuous monitoring requirements including transaction monitoring thresholds, periodic review schedules, and trigger events for re-assessment.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r-filing-criteria"/>
    <w:p>
      <w:pPr>
        <w:pStyle w:val="Heading2"/>
      </w:pPr>
      <w:r>
        <w:t xml:space="preserve">SAR Filing Criteria</w:t>
      </w:r>
    </w:p>
    <w:p>
      <w:pPr>
        <w:pStyle w:val="FirstParagraph"/>
      </w:pPr>
      <w:r>
        <w:t xml:space="preserve">Document the criteria for filing Suspicious Activity Reports, including red flags, escalation procedures, timelines, and record-keeping requirements. Use tables extensively. Reference applicable regulations (BSA, USA.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KYC/AML Procedure</dc:title>
  <dc:creator/>
  <cp:keywords/>
  <dcterms:created xsi:type="dcterms:W3CDTF">2026-05-05T18:39:51Z</dcterms:created>
  <dcterms:modified xsi:type="dcterms:W3CDTF">2026-05-05T18:39:51Z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