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Investment Policy Statement</w:t>
      </w:r>
    </w:p>
    <w:bookmarkStart w:id="23" w:name="investment-policy-statement"/>
    <w:p>
      <w:pPr>
        <w:pStyle w:val="Heading1"/>
      </w:pPr>
      <w:r>
        <w:t xml:space="preserve">Investment Policy Statement</w:t>
      </w:r>
    </w:p>
    <w:p>
      <w:pPr>
        <w:pStyle w:val="BlockText"/>
      </w:pPr>
      <w:r>
        <w:t xml:space="preserve">Use this template to investment guidelines for [fund/portfolio].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vestment-objectives"/>
    <w:p>
      <w:pPr>
        <w:pStyle w:val="Heading2"/>
      </w:pPr>
      <w:r>
        <w:t xml:space="preserve">Investment Objectives</w:t>
      </w:r>
    </w:p>
    <w:p>
      <w:pPr>
        <w:pStyle w:val="FirstParagraph"/>
      </w:pPr>
      <w:r>
        <w:t xml:space="preserve">State the primary and secondary objectives (return target, income needs, capital preservation). Include the time horizon and liquidity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sset-allocation-targets"/>
    <w:p>
      <w:pPr>
        <w:pStyle w:val="Heading2"/>
      </w:pPr>
      <w:r>
        <w:t xml:space="preserve">Asset Allocation Targets</w:t>
      </w:r>
    </w:p>
    <w:p>
      <w:pPr>
        <w:pStyle w:val="FirstParagraph"/>
      </w:pPr>
      <w:r>
        <w:t xml:space="preserve">Define strategic asset allocation with target weights, permissible ranges, and sub-asset class breakdowns. Use a table with asset class, target %, minimum %, and maximum %.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ermitted-instruments"/>
    <w:p>
      <w:pPr>
        <w:pStyle w:val="Heading2"/>
      </w:pPr>
      <w:r>
        <w:t xml:space="preserve">Permitted Instruments</w:t>
      </w:r>
    </w:p>
    <w:p>
      <w:pPr>
        <w:pStyle w:val="FirstParagraph"/>
      </w:pPr>
      <w:r>
        <w:t xml:space="preserve">List all permitted and prohibited investment instruments by asset class. Specify any ESG, ethical, or regulatory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limits"/>
    <w:p>
      <w:pPr>
        <w:pStyle w:val="Heading2"/>
      </w:pPr>
      <w:r>
        <w:t xml:space="preserve">Risk Limits</w:t>
      </w:r>
    </w:p>
    <w:p>
      <w:pPr>
        <w:pStyle w:val="FirstParagraph"/>
      </w:pPr>
      <w:r>
        <w:t xml:space="preserve">Document quantitative risk limits: maximum drawdown, tracking error, concentration limits, duration limits, credit quality floors. Use a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balancing-triggers"/>
    <w:p>
      <w:pPr>
        <w:pStyle w:val="Heading2"/>
      </w:pPr>
      <w:r>
        <w:t xml:space="preserve">Rebalancing Triggers</w:t>
      </w:r>
    </w:p>
    <w:p>
      <w:pPr>
        <w:pStyle w:val="FirstParagraph"/>
      </w:pPr>
      <w:r>
        <w:t xml:space="preserve">Define calendar-based and threshold-based rebalancing rules, including tolerance bands and execution guidelines.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enchmark"/>
    <w:p>
      <w:pPr>
        <w:pStyle w:val="Heading2"/>
      </w:pPr>
      <w:r>
        <w:t xml:space="preserve">Benchmark</w:t>
      </w:r>
    </w:p>
    <w:p>
      <w:pPr>
        <w:pStyle w:val="FirstParagraph"/>
      </w:pPr>
      <w:r>
        <w:t xml:space="preserve">Specify the composite benchmark and individual asset class benchmarks. Define performance evaluation periods and peer comparison methodology. Use precise percentages and financial terminology. Reference fiduciary.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Policy Statement</dc:title>
  <dc:creator/>
  <cp:keywords/>
  <dcterms:created xsi:type="dcterms:W3CDTF">2026-05-05T18:39:49Z</dcterms:created>
  <dcterms:modified xsi:type="dcterms:W3CDTF">2026-05-05T18:39:49Z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