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Credit Policy Exception</w:t>
      </w:r>
    </w:p>
    <w:bookmarkStart w:id="24" w:name="credit-policy-exception"/>
    <w:p>
      <w:pPr>
        <w:pStyle w:val="Heading1"/>
      </w:pPr>
      <w:r>
        <w:t xml:space="preserve">Credit Policy Exception</w:t>
      </w:r>
    </w:p>
    <w:p>
      <w:pPr>
        <w:pStyle w:val="BlockText"/>
      </w:pPr>
      <w:r>
        <w:t xml:space="preserve">Use this template to document credit policy deviations, compensating factors, approval rationale, and monitoring.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Banking &amp; Lending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quest-summary"/>
    <w:p>
      <w:pPr>
        <w:pStyle w:val="Heading2"/>
      </w:pPr>
      <w:r>
        <w:t xml:space="preserve">Request Summary</w:t>
      </w:r>
    </w:p>
    <w:p>
      <w:pPr>
        <w:pStyle w:val="FirstParagraph"/>
      </w:pPr>
      <w:r>
        <w:t xml:space="preserve">Identify borrower, facility, amount, product, decision needed, and requested exception.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olicy-requirement"/>
    <w:p>
      <w:pPr>
        <w:pStyle w:val="Heading2"/>
      </w:pPr>
      <w:r>
        <w:t xml:space="preserve">Policy Requirement</w:t>
      </w:r>
    </w:p>
    <w:p>
      <w:pPr>
        <w:pStyle w:val="FirstParagraph"/>
      </w:pPr>
      <w:r>
        <w:t xml:space="preserve">Quote or summarize the applicable credit policy threshold, covenant, or documentation standard.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xception-details"/>
    <w:p>
      <w:pPr>
        <w:pStyle w:val="Heading2"/>
      </w:pPr>
      <w:r>
        <w:t xml:space="preserve">Exception Details</w:t>
      </w:r>
    </w:p>
    <w:p>
      <w:pPr>
        <w:pStyle w:val="FirstParagraph"/>
      </w:pPr>
      <w:r>
        <w:t xml:space="preserve">Explain how the request deviates from policy and whether it is temporary or ongoing.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isk-impact"/>
    <w:p>
      <w:pPr>
        <w:pStyle w:val="Heading2"/>
      </w:pPr>
      <w:r>
        <w:t xml:space="preserve">Risk Impact</w:t>
      </w:r>
    </w:p>
    <w:p>
      <w:pPr>
        <w:pStyle w:val="FirstParagraph"/>
      </w:pPr>
      <w:r>
        <w:t xml:space="preserve">Assess repayment, collateral, compliance, concentration, pricing, and portfolio implications.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pensating-factors"/>
    <w:p>
      <w:pPr>
        <w:pStyle w:val="Heading2"/>
      </w:pPr>
      <w:r>
        <w:t xml:space="preserve">Compensating Factors</w:t>
      </w:r>
    </w:p>
    <w:p>
      <w:pPr>
        <w:pStyle w:val="FirstParagraph"/>
      </w:pPr>
      <w:r>
        <w:t xml:space="preserve">List strengths such as cash flow, guarantees, deposit relationship, collateral margin, or covenants.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pproval-recommendation"/>
    <w:p>
      <w:pPr>
        <w:pStyle w:val="Heading2"/>
      </w:pPr>
      <w:r>
        <w:t xml:space="preserve">Approval Recommendation</w:t>
      </w:r>
    </w:p>
    <w:p>
      <w:pPr>
        <w:pStyle w:val="FirstParagraph"/>
      </w:pPr>
      <w:r>
        <w:t xml:space="preserve">State approve, decline, or modify with approval authority and conditions.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monitoring-plan"/>
    <w:p>
      <w:pPr>
        <w:pStyle w:val="Heading2"/>
      </w:pPr>
      <w:r>
        <w:t xml:space="preserve">Monitoring Plan</w:t>
      </w:r>
    </w:p>
    <w:p>
      <w:pPr>
        <w:pStyle w:val="FirstParagraph"/>
      </w:pPr>
      <w:r>
        <w:t xml:space="preserve">Define follow-up reporting, ticklers, covenant tracking, and expiration or cure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Policy Exception</dc:title>
  <dc:creator/>
  <cp:keywords/>
  <dcterms:created xsi:type="dcterms:W3CDTF">2026-05-05T18:35:47Z</dcterms:created>
  <dcterms:modified xsi:type="dcterms:W3CDTF">2026-05-05T18:35:47Z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