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Work Instruction</w:t>
      </w:r>
    </w:p>
    <w:bookmarkStart w:id="25" w:name="work-instruction"/>
    <w:p>
      <w:pPr>
        <w:pStyle w:val="Heading1"/>
      </w:pPr>
      <w:r>
        <w:t xml:space="preserve">Work Instruction</w:t>
      </w:r>
    </w:p>
    <w:p>
      <w:pPr>
        <w:pStyle w:val="BlockText"/>
      </w:pPr>
      <w:r>
        <w:t xml:space="preserve">Use this template to create an operator work instruction for [station/process operation].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Automotive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urpose"/>
    <w:p>
      <w:pPr>
        <w:pStyle w:val="Heading2"/>
      </w:pPr>
      <w:r>
        <w:t xml:space="preserve">Purpose</w:t>
      </w:r>
    </w:p>
    <w:p>
      <w:pPr>
        <w:pStyle w:val="FirstParagraph"/>
      </w:pPr>
      <w:r>
        <w:t xml:space="preserve">State station, part, operation, takt time, and intended operator role.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station-setup"/>
    <w:p>
      <w:pPr>
        <w:pStyle w:val="Heading2"/>
      </w:pPr>
      <w:r>
        <w:t xml:space="preserve">Station Setup</w:t>
      </w:r>
    </w:p>
    <w:p>
      <w:pPr>
        <w:pStyle w:val="FirstParagraph"/>
      </w:pPr>
      <w:r>
        <w:t xml:space="preserve">List tools, fixtures, materials, scanner inputs, torque programs, and line-side documents.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safety-and-quality-alerts"/>
    <w:p>
      <w:pPr>
        <w:pStyle w:val="Heading2"/>
      </w:pPr>
      <w:r>
        <w:t xml:space="preserve">Safety and Quality Alerts</w:t>
      </w:r>
    </w:p>
    <w:p>
      <w:pPr>
        <w:pStyle w:val="FirstParagraph"/>
      </w:pPr>
      <w:r>
        <w:t xml:space="preserve">Call out pinch points, PPE, ergonomic risks, critical characteristics, and customer-visible defects.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standard-work-steps"/>
    <w:p>
      <w:pPr>
        <w:pStyle w:val="Heading2"/>
      </w:pPr>
      <w:r>
        <w:t xml:space="preserve">Standard Work Steps</w:t>
      </w:r>
    </w:p>
    <w:p>
      <w:pPr>
        <w:pStyle w:val="FirstParagraph"/>
      </w:pPr>
      <w:r>
        <w:t xml:space="preserve">Provide numbered steps with action, tool or fixture, expected result, and approximate time.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inspection-points"/>
    <w:p>
      <w:pPr>
        <w:pStyle w:val="Heading2"/>
      </w:pPr>
      <w:r>
        <w:t xml:space="preserve">Inspection Points</w:t>
      </w:r>
    </w:p>
    <w:p>
      <w:pPr>
        <w:pStyle w:val="FirstParagraph"/>
      </w:pPr>
      <w:r>
        <w:t xml:space="preserve">Define in-process checks, visual aids, gauges, error-proofing, and acceptance criteria.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defect-response"/>
    <w:p>
      <w:pPr>
        <w:pStyle w:val="Heading2"/>
      </w:pPr>
      <w:r>
        <w:t xml:space="preserve">Defect Response</w:t>
      </w:r>
    </w:p>
    <w:p>
      <w:pPr>
        <w:pStyle w:val="FirstParagraph"/>
      </w:pPr>
      <w:r>
        <w:t xml:space="preserve">State how operators tag, contain, escalate, and record defects.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vision-control"/>
    <w:p>
      <w:pPr>
        <w:pStyle w:val="Heading2"/>
      </w:pPr>
      <w:r>
        <w:t xml:space="preserve">Revision Control</w:t>
      </w:r>
    </w:p>
    <w:p>
      <w:pPr>
        <w:pStyle w:val="FirstParagraph"/>
      </w:pPr>
      <w:r>
        <w:t xml:space="preserve">Identify document owner, effective date, training requirement, and changed content. Use direct operator language and keep each step observable.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Instruction</dc:title>
  <dc:creator/>
  <cp:keywords/>
  <dcterms:created xsi:type="dcterms:W3CDTF">2026-05-05T18:35:35Z</dcterms:created>
  <dcterms:modified xsi:type="dcterms:W3CDTF">2026-05-05T18:35:35Z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