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Inspection Standard</w:t>
      </w:r>
    </w:p>
    <w:bookmarkStart w:id="25" w:name="inspection-standard"/>
    <w:p>
      <w:pPr>
        <w:pStyle w:val="Heading1"/>
      </w:pPr>
      <w:r>
        <w:t xml:space="preserve">Inspection Standard</w:t>
      </w:r>
    </w:p>
    <w:p>
      <w:pPr>
        <w:pStyle w:val="BlockText"/>
      </w:pPr>
      <w:r>
        <w:t xml:space="preserve">Use this template to define inspection criteria for [part characteristic or visual defect].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Identify part, customer, process, inspection stage, and characteristics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haracteristic-requirements"/>
    <w:p>
      <w:pPr>
        <w:pStyle w:val="Heading2"/>
      </w:pPr>
      <w:r>
        <w:t xml:space="preserve">Characteristic Requirements</w:t>
      </w:r>
    </w:p>
    <w:p>
      <w:pPr>
        <w:pStyle w:val="FirstParagraph"/>
      </w:pPr>
      <w:r>
        <w:t xml:space="preserve">List drawing callouts, special characteristics, appearance zones, specifications, and tolerances.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spection-method"/>
    <w:p>
      <w:pPr>
        <w:pStyle w:val="Heading2"/>
      </w:pPr>
      <w:r>
        <w:t xml:space="preserve">Inspection Method</w:t>
      </w:r>
    </w:p>
    <w:p>
      <w:pPr>
        <w:pStyle w:val="FirstParagraph"/>
      </w:pPr>
      <w:r>
        <w:t xml:space="preserve">Define gauge, visual standard, lighting, distance, orientation, handling, and appraiser qualification.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State acceptable and rejectable conditions with measurable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efect-examples"/>
    <w:p>
      <w:pPr>
        <w:pStyle w:val="Heading2"/>
      </w:pPr>
      <w:r>
        <w:t xml:space="preserve">Defect Examples</w:t>
      </w:r>
    </w:p>
    <w:p>
      <w:pPr>
        <w:pStyle w:val="FirstParagraph"/>
      </w:pPr>
      <w:r>
        <w:t xml:space="preserve">Describe typical defects such as burrs, scratches, short shots, flash, porosity, missing features, or wrong labels.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ampling"/>
    <w:p>
      <w:pPr>
        <w:pStyle w:val="Heading2"/>
      </w:pPr>
      <w:r>
        <w:t xml:space="preserve">Sampling</w:t>
      </w:r>
    </w:p>
    <w:p>
      <w:pPr>
        <w:pStyle w:val="FirstParagraph"/>
      </w:pPr>
      <w:r>
        <w:t xml:space="preserve">Define frequency, lot size, first-off, last-off, and escalation sampling.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List forms, systems, photos, labels, and retention requirements. Make criteria objective enough for repeated inspector decisions.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Standard</dc:title>
  <dc:creator/>
  <cp:keywords/>
  <dcterms:created xsi:type="dcterms:W3CDTF">2026-05-05T18:35:14Z</dcterms:created>
  <dcterms:modified xsi:type="dcterms:W3CDTF">2026-05-05T18:35:14Z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