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Nonconformance Disposition</w:t>
      </w:r>
    </w:p>
    <w:bookmarkStart w:id="25" w:name="nonconformance-disposition"/>
    <w:p>
      <w:pPr>
        <w:pStyle w:val="Heading1"/>
      </w:pPr>
      <w:r>
        <w:t xml:space="preserve">Nonconformance Disposition</w:t>
      </w:r>
    </w:p>
    <w:p>
      <w:pPr>
        <w:pStyle w:val="BlockText"/>
      </w:pPr>
      <w:r>
        <w:t xml:space="preserve">Use this template to document MRB disposition for [nonconforming part/assembly].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Aerospace &amp; Defense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nonconformance-summary"/>
    <w:p>
      <w:pPr>
        <w:pStyle w:val="Heading2"/>
      </w:pPr>
      <w:r>
        <w:t xml:space="preserve">Nonconformance Summary</w:t>
      </w:r>
    </w:p>
    <w:p>
      <w:pPr>
        <w:pStyle w:val="FirstParagraph"/>
      </w:pPr>
      <w:r>
        <w:t xml:space="preserve">Identify NCR number, part number, serial or lot, requirement violated, discovery point, and severity.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affected-configuration"/>
    <w:p>
      <w:pPr>
        <w:pStyle w:val="Heading2"/>
      </w:pPr>
      <w:r>
        <w:t xml:space="preserve">Affected Configuration</w:t>
      </w:r>
    </w:p>
    <w:p>
      <w:pPr>
        <w:pStyle w:val="FirstParagraph"/>
      </w:pPr>
      <w:r>
        <w:t xml:space="preserve">List drawing revision, process specification, installed location, effectivity, and related assemblies.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ontainment"/>
    <w:p>
      <w:pPr>
        <w:pStyle w:val="Heading2"/>
      </w:pPr>
      <w:r>
        <w:t xml:space="preserve">Containment</w:t>
      </w:r>
    </w:p>
    <w:p>
      <w:pPr>
        <w:pStyle w:val="FirstParagraph"/>
      </w:pPr>
      <w:r>
        <w:t xml:space="preserve">Describe holds, stop-work actions, inventory segregation, and traceability range.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engineering-evaluation"/>
    <w:p>
      <w:pPr>
        <w:pStyle w:val="Heading2"/>
      </w:pPr>
      <w:r>
        <w:t xml:space="preserve">Engineering Evaluation</w:t>
      </w:r>
    </w:p>
    <w:p>
      <w:pPr>
        <w:pStyle w:val="FirstParagraph"/>
      </w:pPr>
      <w:r>
        <w:t xml:space="preserve">Assess form, fit, function, safety, fatigue, reliability, interchangeability, and downstream inspection impact.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disposition"/>
    <w:p>
      <w:pPr>
        <w:pStyle w:val="Heading2"/>
      </w:pPr>
      <w:r>
        <w:t xml:space="preserve">Disposition</w:t>
      </w:r>
    </w:p>
    <w:p>
      <w:pPr>
        <w:pStyle w:val="FirstParagraph"/>
      </w:pPr>
      <w:r>
        <w:t xml:space="preserve">State rework, repair, use-as-is, scrap, return to supplier, or request for customer concession.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ustomer-notification"/>
    <w:p>
      <w:pPr>
        <w:pStyle w:val="Heading2"/>
      </w:pPr>
      <w:r>
        <w:t xml:space="preserve">Customer Notification</w:t>
      </w:r>
    </w:p>
    <w:p>
      <w:pPr>
        <w:pStyle w:val="FirstParagraph"/>
      </w:pPr>
      <w:r>
        <w:t xml:space="preserve">Identify contract, quality clause, notification threshold, and required approval authority.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closure-evidence"/>
    <w:p>
      <w:pPr>
        <w:pStyle w:val="Heading2"/>
      </w:pPr>
      <w:r>
        <w:t xml:space="preserve">Closure Evidence</w:t>
      </w:r>
    </w:p>
    <w:p>
      <w:pPr>
        <w:pStyle w:val="FirstParagraph"/>
      </w:pPr>
      <w:r>
        <w:t xml:space="preserve">List records required before NCR closure. Use MRB language and distinguish temporary containment from final disposition.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Nonconformance Disposition</dc:title>
  <dc:creator/>
  <cp:keywords/>
  <dcterms:created xsi:type="dcterms:W3CDTF">2026-05-05T18:34:49Z</dcterms:created>
  <dcterms:modified xsi:type="dcterms:W3CDTF">2026-05-05T18:34:49Z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