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Export Control Review</w:t>
      </w:r>
    </w:p>
    <w:bookmarkStart w:id="24" w:name="export-control-review"/>
    <w:p>
      <w:pPr>
        <w:pStyle w:val="Heading1"/>
      </w:pPr>
      <w:r>
        <w:t xml:space="preserve">Export Control Review</w:t>
      </w:r>
    </w:p>
    <w:p>
      <w:pPr>
        <w:pStyle w:val="BlockText"/>
      </w:pPr>
      <w:r>
        <w:t xml:space="preserve">Use this template to assess export control requirements for [technical data/item/transaction].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view-scope"/>
    <w:p>
      <w:pPr>
        <w:pStyle w:val="Heading2"/>
      </w:pPr>
      <w:r>
        <w:t xml:space="preserve">Review Scope</w:t>
      </w:r>
    </w:p>
    <w:p>
      <w:pPr>
        <w:pStyle w:val="FirstParagraph"/>
      </w:pPr>
      <w:r>
        <w:t xml:space="preserve">Describe item, technical data, service, transaction, program, and requested release.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tem-classification"/>
    <w:p>
      <w:pPr>
        <w:pStyle w:val="Heading2"/>
      </w:pPr>
      <w:r>
        <w:t xml:space="preserve">Item Classification</w:t>
      </w:r>
    </w:p>
    <w:p>
      <w:pPr>
        <w:pStyle w:val="FirstParagraph"/>
      </w:pPr>
      <w:r>
        <w:t xml:space="preserve">List USML or ECCN classification, rationale, commodity jurisdiction status, and classification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arties-and-destination"/>
    <w:p>
      <w:pPr>
        <w:pStyle w:val="Heading2"/>
      </w:pPr>
      <w:r>
        <w:t xml:space="preserve">Parties and Destination</w:t>
      </w:r>
    </w:p>
    <w:p>
      <w:pPr>
        <w:pStyle w:val="FirstParagraph"/>
      </w:pPr>
      <w:r>
        <w:t xml:space="preserve">Identify recipients, nationality, end user, destination country, intermediaries, and screening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chnical-data"/>
    <w:p>
      <w:pPr>
        <w:pStyle w:val="Heading2"/>
      </w:pPr>
      <w:r>
        <w:t xml:space="preserve">Technical Data</w:t>
      </w:r>
    </w:p>
    <w:p>
      <w:pPr>
        <w:pStyle w:val="FirstParagraph"/>
      </w:pPr>
      <w:r>
        <w:t xml:space="preserve">Summarize drawings, software, models, test data, manuals, or defense services proposed for release.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icense-assessment"/>
    <w:p>
      <w:pPr>
        <w:pStyle w:val="Heading2"/>
      </w:pPr>
      <w:r>
        <w:t xml:space="preserve">License Assessment</w:t>
      </w:r>
    </w:p>
    <w:p>
      <w:pPr>
        <w:pStyle w:val="FirstParagraph"/>
      </w:pPr>
      <w:r>
        <w:t xml:space="preserve">State whether an export license, exemption, exception, proviso, or technology control plan is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Define marking, access control, transfer method, visitor control, and recordkeeping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cision"/>
    <w:p>
      <w:pPr>
        <w:pStyle w:val="Heading2"/>
      </w:pPr>
      <w:r>
        <w:t xml:space="preserve">Decision</w:t>
      </w:r>
    </w:p>
    <w:p>
      <w:pPr>
        <w:pStyle w:val="FirstParagraph"/>
      </w:pPr>
      <w:r>
        <w:t xml:space="preserve">Record approval, denial, conditions, escalation, and expiration date. Use compliance-focused language and avoid legal conclusions beyond the documented classification basis.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Control Review</dc:title>
  <dc:creator/>
  <cp:keywords/>
  <dcterms:created xsi:type="dcterms:W3CDTF">2026-05-05T18:34:34Z</dcterms:created>
  <dcterms:modified xsi:type="dcterms:W3CDTF">2026-05-05T18:34:34Z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