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Variance Analysis Memo</w:t>
      </w:r>
    </w:p>
    <w:bookmarkStart w:id="25" w:name="variance-analysis-memo"/>
    <w:p>
      <w:pPr>
        <w:pStyle w:val="Heading1"/>
      </w:pPr>
      <w:r>
        <w:t xml:space="preserve">Variance Analysis Memo</w:t>
      </w:r>
    </w:p>
    <w:p>
      <w:pPr>
        <w:pStyle w:val="BlockText"/>
      </w:pPr>
      <w:r>
        <w:t xml:space="preserve">Use this template to explain financial statement fluctuations with thresholds, drivers, evidence, and follow-up actions.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Accounting &amp; Audit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nalysis-scope"/>
    <w:p>
      <w:pPr>
        <w:pStyle w:val="Heading2"/>
      </w:pPr>
      <w:r>
        <w:t xml:space="preserve">Analysis Scope</w:t>
      </w:r>
    </w:p>
    <w:p>
      <w:pPr>
        <w:pStyle w:val="FirstParagraph"/>
      </w:pPr>
      <w:r>
        <w:t xml:space="preserve">Identify period, comparative period, financial statements, entities, and accounts reviewed.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thresholds-and-methodology"/>
    <w:p>
      <w:pPr>
        <w:pStyle w:val="Heading2"/>
      </w:pPr>
      <w:r>
        <w:t xml:space="preserve">Thresholds and Methodology</w:t>
      </w:r>
    </w:p>
    <w:p>
      <w:pPr>
        <w:pStyle w:val="FirstParagraph"/>
      </w:pPr>
      <w:r>
        <w:t xml:space="preserve">Define dollar and percentage thresholds, data sources, exclusions, and investigation approach.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Summarize significant movements, recurring themes, unusual items, and unresolved questions.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account-level-variance-analysis"/>
    <w:p>
      <w:pPr>
        <w:pStyle w:val="Heading2"/>
      </w:pPr>
      <w:r>
        <w:t xml:space="preserve">Account-Level Variance Analysis</w:t>
      </w:r>
    </w:p>
    <w:p>
      <w:pPr>
        <w:pStyle w:val="FirstParagraph"/>
      </w:pPr>
      <w:r>
        <w:t xml:space="preserve">Explain major variances by account with operational drivers and accounting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upporting-evidence"/>
    <w:p>
      <w:pPr>
        <w:pStyle w:val="Heading2"/>
      </w:pPr>
      <w:r>
        <w:t xml:space="preserve">Supporting Evidence</w:t>
      </w:r>
    </w:p>
    <w:p>
      <w:pPr>
        <w:pStyle w:val="FirstParagraph"/>
      </w:pPr>
      <w:r>
        <w:t xml:space="preserve">Reference invoices, subledger reports, contracts, payroll data, board approvals, or external data.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follow-up-items"/>
    <w:p>
      <w:pPr>
        <w:pStyle w:val="Heading2"/>
      </w:pPr>
      <w:r>
        <w:t xml:space="preserve">Follow-Up Items</w:t>
      </w:r>
    </w:p>
    <w:p>
      <w:pPr>
        <w:pStyle w:val="FirstParagraph"/>
      </w:pPr>
      <w:r>
        <w:t xml:space="preserve">Assign owners, due dates, proposed entries, disclosure considerations, and control implications.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State whether variances are reasonable, require adjustment, or require additional audit procedures.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Variance Analysis Memo</dc:title>
  <dc:creator/>
  <cp:keywords/>
  <dcterms:created xsi:type="dcterms:W3CDTF">2026-05-05T18:34:22Z</dcterms:created>
  <dcterms:modified xsi:type="dcterms:W3CDTF">2026-05-05T18:34:22Z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