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Tax Provision Memo</w:t>
      </w:r>
    </w:p>
    <w:bookmarkStart w:id="25" w:name="tax-provision-memo"/>
    <w:p>
      <w:pPr>
        <w:pStyle w:val="Heading1"/>
      </w:pPr>
      <w:r>
        <w:t xml:space="preserve">Tax Provision Memo</w:t>
      </w:r>
    </w:p>
    <w:p>
      <w:pPr>
        <w:pStyle w:val="BlockText"/>
      </w:pPr>
      <w:r>
        <w:t xml:space="preserve">Use this template to summarize tax provision assumptions, calculations, disclosures, and review conclusions.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Summarize reporting period, tax basis, provision result, and key judgments.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ntity-and-jurisdiction-scope"/>
    <w:p>
      <w:pPr>
        <w:pStyle w:val="Heading2"/>
      </w:pPr>
      <w:r>
        <w:t xml:space="preserve">Entity and Jurisdiction Scope</w:t>
      </w:r>
    </w:p>
    <w:p>
      <w:pPr>
        <w:pStyle w:val="FirstParagraph"/>
      </w:pPr>
      <w:r>
        <w:t xml:space="preserve">List entities, jurisdictions, filing status, ownership, and consolidation treatment.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urrent-tax-calculation"/>
    <w:p>
      <w:pPr>
        <w:pStyle w:val="Heading2"/>
      </w:pPr>
      <w:r>
        <w:t xml:space="preserve">Current Tax Calculation</w:t>
      </w:r>
    </w:p>
    <w:p>
      <w:pPr>
        <w:pStyle w:val="FirstParagraph"/>
      </w:pPr>
      <w:r>
        <w:t xml:space="preserve">Document taxable income adjustments, credits, NOLs, payments, and payable or receivable.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eferred-tax-analysis"/>
    <w:p>
      <w:pPr>
        <w:pStyle w:val="Heading2"/>
      </w:pPr>
      <w:r>
        <w:t xml:space="preserve">Deferred Tax Analysis</w:t>
      </w:r>
    </w:p>
    <w:p>
      <w:pPr>
        <w:pStyle w:val="FirstParagraph"/>
      </w:pPr>
      <w:r>
        <w:t xml:space="preserve">Explain temporary differences, valuation allowance, deferred tax assets, and liabilities.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ffective-tax-rate-reconciliation"/>
    <w:p>
      <w:pPr>
        <w:pStyle w:val="Heading2"/>
      </w:pPr>
      <w:r>
        <w:t xml:space="preserve">Effective Tax Rate Reconciliation</w:t>
      </w:r>
    </w:p>
    <w:p>
      <w:pPr>
        <w:pStyle w:val="FirstParagraph"/>
      </w:pPr>
      <w:r>
        <w:t xml:space="preserve">Bridge statutory rate to effective rate with permanent items and discrete adjustments.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uncertain-tax-positions"/>
    <w:p>
      <w:pPr>
        <w:pStyle w:val="Heading2"/>
      </w:pPr>
      <w:r>
        <w:t xml:space="preserve">Uncertain Tax Positions</w:t>
      </w:r>
    </w:p>
    <w:p>
      <w:pPr>
        <w:pStyle w:val="FirstParagraph"/>
      </w:pPr>
      <w:r>
        <w:t xml:space="preserve">Assess technical merits, recognition, measurement, and documentation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isclosure-and-conclusion"/>
    <w:p>
      <w:pPr>
        <w:pStyle w:val="Heading2"/>
      </w:pPr>
      <w:r>
        <w:t xml:space="preserve">Disclosure and Conclusion</w:t>
      </w:r>
    </w:p>
    <w:p>
      <w:pPr>
        <w:pStyle w:val="FirstParagraph"/>
      </w:pPr>
      <w:r>
        <w:t xml:space="preserve">Provide financial statement disclosure points, reviewer conclusion, and open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Provision Memo</dc:title>
  <dc:creator/>
  <cp:keywords/>
  <dcterms:created xsi:type="dcterms:W3CDTF">2026-05-05T18:34:20Z</dcterms:created>
  <dcterms:modified xsi:type="dcterms:W3CDTF">2026-05-05T18:34:20Z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