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Revenue Recognition Assessment</w:t>
      </w:r>
    </w:p>
    <w:bookmarkStart w:id="25" w:name="revenue-recognition-assessment"/>
    <w:p>
      <w:pPr>
        <w:pStyle w:val="Heading1"/>
      </w:pPr>
      <w:r>
        <w:t xml:space="preserve">Revenue Recognition Assessment</w:t>
      </w:r>
    </w:p>
    <w:p>
      <w:pPr>
        <w:pStyle w:val="BlockText"/>
      </w:pPr>
      <w:r>
        <w:t xml:space="preserve">Use this template to evaluate contracts under revenue recognition guidance and document accounting conclusions.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Accounting &amp; Audit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contract-overview"/>
    <w:p>
      <w:pPr>
        <w:pStyle w:val="Heading2"/>
      </w:pPr>
      <w:r>
        <w:t xml:space="preserve">Contract Overview</w:t>
      </w:r>
    </w:p>
    <w:p>
      <w:pPr>
        <w:pStyle w:val="FirstParagraph"/>
      </w:pPr>
      <w:r>
        <w:t xml:space="preserve">Identify customer, contract date, term, products or services, amendments, and value.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step-1-contract-with-customer"/>
    <w:p>
      <w:pPr>
        <w:pStyle w:val="Heading2"/>
      </w:pPr>
      <w:r>
        <w:t xml:space="preserve">Step 1: Contract with Customer</w:t>
      </w:r>
    </w:p>
    <w:p>
      <w:pPr>
        <w:pStyle w:val="FirstParagraph"/>
      </w:pPr>
      <w:r>
        <w:t xml:space="preserve">Assess approval, rights, payment terms, commercial substance, and collectability.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step-2-performance-obligations"/>
    <w:p>
      <w:pPr>
        <w:pStyle w:val="Heading2"/>
      </w:pPr>
      <w:r>
        <w:t xml:space="preserve">Step 2: Performance Obligations</w:t>
      </w:r>
    </w:p>
    <w:p>
      <w:pPr>
        <w:pStyle w:val="FirstParagraph"/>
      </w:pPr>
      <w:r>
        <w:t xml:space="preserve">Identify distinct goods or services and bundling considerations.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step-3-transaction-price"/>
    <w:p>
      <w:pPr>
        <w:pStyle w:val="Heading2"/>
      </w:pPr>
      <w:r>
        <w:t xml:space="preserve">Step 3: Transaction Price</w:t>
      </w:r>
    </w:p>
    <w:p>
      <w:pPr>
        <w:pStyle w:val="FirstParagraph"/>
      </w:pPr>
      <w:r>
        <w:t xml:space="preserve">Document fixed fees, variable consideration, discounts, financing, and constraints.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step-4-allocation"/>
    <w:p>
      <w:pPr>
        <w:pStyle w:val="Heading2"/>
      </w:pPr>
      <w:r>
        <w:t xml:space="preserve">Step 4: Allocation</w:t>
      </w:r>
    </w:p>
    <w:p>
      <w:pPr>
        <w:pStyle w:val="FirstParagraph"/>
      </w:pPr>
      <w:r>
        <w:t xml:space="preserve">Explain standalone selling prices, allocation method, and material rights.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step-5-recognition-pattern"/>
    <w:p>
      <w:pPr>
        <w:pStyle w:val="Heading2"/>
      </w:pPr>
      <w:r>
        <w:t xml:space="preserve">Step 5: Recognition Pattern</w:t>
      </w:r>
    </w:p>
    <w:p>
      <w:pPr>
        <w:pStyle w:val="FirstParagraph"/>
      </w:pPr>
      <w:r>
        <w:t xml:space="preserve">State point-in-time or over-time recognition and supporting rationale.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accounting-conclusion"/>
    <w:p>
      <w:pPr>
        <w:pStyle w:val="Heading2"/>
      </w:pPr>
      <w:r>
        <w:t xml:space="preserve">Accounting Conclusion</w:t>
      </w:r>
    </w:p>
    <w:p>
      <w:pPr>
        <w:pStyle w:val="FirstParagraph"/>
      </w:pPr>
      <w:r>
        <w:t xml:space="preserve">Summarize journal entry impact, disclosures, controls, and required approvals.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Revenue Recognition Assessment</dc:title>
  <dc:creator/>
  <cp:keywords/>
  <dcterms:created xsi:type="dcterms:W3CDTF">2026-05-05T18:34:14Z</dcterms:created>
  <dcterms:modified xsi:type="dcterms:W3CDTF">2026-05-05T18:34:14Z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